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8914" w14:textId="77777777" w:rsidR="002977FB" w:rsidRDefault="00423F41" w:rsidP="00973386">
      <w:pPr>
        <w:ind w:right="709"/>
      </w:pPr>
      <w:r>
        <w:rPr>
          <w:noProof/>
        </w:rPr>
        <w:drawing>
          <wp:anchor distT="0" distB="0" distL="114300" distR="114300" simplePos="0" relativeHeight="251658240" behindDoc="0" locked="0" layoutInCell="1" hidden="0" allowOverlap="1" wp14:anchorId="1E54DC13" wp14:editId="388B893D">
            <wp:simplePos x="0" y="0"/>
            <wp:positionH relativeFrom="column">
              <wp:posOffset>-723009</wp:posOffset>
            </wp:positionH>
            <wp:positionV relativeFrom="paragraph">
              <wp:posOffset>-743481</wp:posOffset>
            </wp:positionV>
            <wp:extent cx="7130955" cy="110934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149333" cy="1112204"/>
                    </a:xfrm>
                    <a:prstGeom prst="rect">
                      <a:avLst/>
                    </a:prstGeom>
                    <a:ln/>
                  </pic:spPr>
                </pic:pic>
              </a:graphicData>
            </a:graphic>
            <wp14:sizeRelH relativeFrom="margin">
              <wp14:pctWidth>0</wp14:pctWidth>
            </wp14:sizeRelH>
            <wp14:sizeRelV relativeFrom="margin">
              <wp14:pctHeight>0</wp14:pctHeight>
            </wp14:sizeRelV>
          </wp:anchor>
        </w:drawing>
      </w:r>
    </w:p>
    <w:p w14:paraId="2B039976" w14:textId="77777777" w:rsidR="002977FB" w:rsidRDefault="002977FB"/>
    <w:p w14:paraId="44230B80" w14:textId="77777777" w:rsidR="002977FB" w:rsidRDefault="00FA2DB9">
      <w:pPr>
        <w:spacing w:after="200" w:line="240" w:lineRule="auto"/>
        <w:jc w:val="center"/>
        <w:rPr>
          <w:rFonts w:ascii="Times New Roman" w:eastAsia="Times New Roman" w:hAnsi="Times New Roman" w:cs="Times New Roman"/>
          <w:sz w:val="24"/>
          <w:szCs w:val="24"/>
        </w:rPr>
      </w:pPr>
      <w:r>
        <w:rPr>
          <w:rFonts w:ascii="Cambria" w:eastAsia="Cambria" w:hAnsi="Cambria" w:cs="Cambria"/>
          <w:b/>
          <w:color w:val="000000"/>
          <w:sz w:val="28"/>
          <w:szCs w:val="28"/>
        </w:rPr>
        <w:t>EDITAL - IPTU 2023</w:t>
      </w:r>
    </w:p>
    <w:p w14:paraId="0F7CF9DB" w14:textId="77777777" w:rsidR="002977FB" w:rsidRDefault="002977FB">
      <w:pPr>
        <w:spacing w:after="0" w:line="240" w:lineRule="auto"/>
        <w:rPr>
          <w:rFonts w:ascii="Times New Roman" w:eastAsia="Times New Roman" w:hAnsi="Times New Roman" w:cs="Times New Roman"/>
          <w:sz w:val="24"/>
          <w:szCs w:val="24"/>
        </w:rPr>
      </w:pPr>
    </w:p>
    <w:p w14:paraId="4889FD8E"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 xml:space="preserve">A </w:t>
      </w:r>
      <w:r>
        <w:rPr>
          <w:rFonts w:ascii="Cambria" w:eastAsia="Cambria" w:hAnsi="Cambria" w:cs="Cambria"/>
          <w:b/>
          <w:color w:val="000000"/>
        </w:rPr>
        <w:t>Unidade de Gestão de Governo e Finanças</w:t>
      </w:r>
      <w:r>
        <w:rPr>
          <w:rFonts w:ascii="Cambria" w:eastAsia="Cambria" w:hAnsi="Cambria" w:cs="Cambria"/>
          <w:color w:val="000000"/>
        </w:rPr>
        <w:t>, nos termos da Lei Complementar nº 460, de 22 de outubro de 2008 e alterações subsequent</w:t>
      </w:r>
      <w:r w:rsidR="00804650">
        <w:rPr>
          <w:rFonts w:ascii="Cambria" w:eastAsia="Cambria" w:hAnsi="Cambria" w:cs="Cambria"/>
          <w:color w:val="000000"/>
        </w:rPr>
        <w:t xml:space="preserve">es, regida pelos Decretos </w:t>
      </w:r>
      <w:r w:rsidR="00953B68" w:rsidRPr="00953B68">
        <w:rPr>
          <w:rFonts w:ascii="Cambria" w:eastAsia="Cambria" w:hAnsi="Cambria" w:cs="Cambria"/>
        </w:rPr>
        <w:t>32.311</w:t>
      </w:r>
      <w:r w:rsidRPr="00953B68">
        <w:rPr>
          <w:rFonts w:ascii="Cambria" w:eastAsia="Cambria" w:hAnsi="Cambria" w:cs="Cambria"/>
        </w:rPr>
        <w:t xml:space="preserve"> </w:t>
      </w:r>
      <w:r>
        <w:rPr>
          <w:rFonts w:ascii="Cambria" w:eastAsia="Cambria" w:hAnsi="Cambria" w:cs="Cambria"/>
          <w:color w:val="000000"/>
        </w:rPr>
        <w:t>e</w:t>
      </w:r>
      <w:r>
        <w:rPr>
          <w:rFonts w:ascii="Cambria" w:eastAsia="Cambria" w:hAnsi="Cambria" w:cs="Cambria"/>
          <w:i/>
          <w:color w:val="000000"/>
        </w:rPr>
        <w:t xml:space="preserve"> </w:t>
      </w:r>
      <w:r w:rsidR="00953B68" w:rsidRPr="00953B68">
        <w:rPr>
          <w:rFonts w:ascii="Cambria" w:eastAsia="Cambria" w:hAnsi="Cambria" w:cs="Cambria"/>
        </w:rPr>
        <w:t>32.312</w:t>
      </w:r>
      <w:r w:rsidR="00804650" w:rsidRPr="00953B68">
        <w:rPr>
          <w:rFonts w:ascii="Cambria" w:eastAsia="Cambria" w:hAnsi="Cambria" w:cs="Cambria"/>
          <w:b/>
        </w:rPr>
        <w:t xml:space="preserve"> </w:t>
      </w:r>
      <w:r w:rsidR="00804650">
        <w:rPr>
          <w:rFonts w:ascii="Cambria" w:eastAsia="Cambria" w:hAnsi="Cambria" w:cs="Cambria"/>
          <w:color w:val="000000"/>
        </w:rPr>
        <w:t xml:space="preserve">de </w:t>
      </w:r>
      <w:r w:rsidR="00953B68">
        <w:rPr>
          <w:rFonts w:ascii="Cambria" w:eastAsia="Cambria" w:hAnsi="Cambria" w:cs="Cambria"/>
        </w:rPr>
        <w:t>20</w:t>
      </w:r>
      <w:r w:rsidR="00FA2DB9">
        <w:rPr>
          <w:rFonts w:ascii="Cambria" w:eastAsia="Cambria" w:hAnsi="Cambria" w:cs="Cambria"/>
          <w:color w:val="000000"/>
        </w:rPr>
        <w:t xml:space="preserve"> de dezembro de 2022</w:t>
      </w:r>
      <w:r>
        <w:rPr>
          <w:rFonts w:ascii="Cambria" w:eastAsia="Cambria" w:hAnsi="Cambria" w:cs="Cambria"/>
          <w:color w:val="000000"/>
        </w:rPr>
        <w:t xml:space="preserve">, </w:t>
      </w:r>
      <w:r>
        <w:rPr>
          <w:rFonts w:ascii="Cambria" w:eastAsia="Cambria" w:hAnsi="Cambria" w:cs="Cambria"/>
          <w:b/>
          <w:color w:val="000000"/>
        </w:rPr>
        <w:t>INFORMA</w:t>
      </w:r>
      <w:r>
        <w:rPr>
          <w:rFonts w:ascii="Cambria" w:eastAsia="Cambria" w:hAnsi="Cambria" w:cs="Cambria"/>
          <w:color w:val="000000"/>
        </w:rPr>
        <w:t xml:space="preserve"> a todos os contribuintes imobiliários do município de Jundiaí:</w:t>
      </w:r>
    </w:p>
    <w:p w14:paraId="70D116DC" w14:textId="77777777" w:rsidR="002977FB" w:rsidRDefault="002977FB">
      <w:pPr>
        <w:spacing w:after="0" w:line="240" w:lineRule="auto"/>
        <w:rPr>
          <w:rFonts w:ascii="Times New Roman" w:eastAsia="Times New Roman" w:hAnsi="Times New Roman" w:cs="Times New Roman"/>
          <w:sz w:val="24"/>
          <w:szCs w:val="24"/>
        </w:rPr>
      </w:pPr>
    </w:p>
    <w:p w14:paraId="2066F3CE"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 Da entrega dos Carnês/Notificação/Vencimento</w:t>
      </w:r>
    </w:p>
    <w:p w14:paraId="28A3DF4F" w14:textId="5CD392F4"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Os proprietários ou possuidores de imóveis localizados no Município de Jundiaí serão Notificados do Lançamento do Imposto Sobre a Propriedade Predial e Territorial Urbano - IPTU e da Taxa de Coleta de Lixo</w:t>
      </w:r>
      <w:r w:rsidR="00FA2DB9">
        <w:rPr>
          <w:rFonts w:ascii="Cambria" w:eastAsia="Cambria" w:hAnsi="Cambria" w:cs="Cambria"/>
          <w:color w:val="000000"/>
        </w:rPr>
        <w:t>, relativos ao exercício de 2023</w:t>
      </w:r>
      <w:r>
        <w:rPr>
          <w:rFonts w:ascii="Cambria" w:eastAsia="Cambria" w:hAnsi="Cambria" w:cs="Cambria"/>
          <w:color w:val="000000"/>
        </w:rPr>
        <w:t xml:space="preserve">, por meio de entrega dos Carnês, que serão enviados após o dia </w:t>
      </w:r>
      <w:r w:rsidR="005536BD">
        <w:rPr>
          <w:rFonts w:ascii="Cambria" w:eastAsia="Cambria" w:hAnsi="Cambria" w:cs="Cambria"/>
          <w:color w:val="000000"/>
        </w:rPr>
        <w:t>20</w:t>
      </w:r>
      <w:r>
        <w:rPr>
          <w:rFonts w:ascii="Cambria" w:eastAsia="Cambria" w:hAnsi="Cambria" w:cs="Cambria"/>
          <w:color w:val="000000"/>
        </w:rPr>
        <w:t xml:space="preserve"> de janeiro pelos Correios, no endereço constante em nosso cadastro.</w:t>
      </w:r>
    </w:p>
    <w:p w14:paraId="31BA9964" w14:textId="022071AC"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 xml:space="preserve">Os proprietários ou possuidores de imóveis localizados no Município de Jundiaí que optaram pelo </w:t>
      </w:r>
      <w:r>
        <w:rPr>
          <w:rFonts w:ascii="Cambria" w:eastAsia="Cambria" w:hAnsi="Cambria" w:cs="Cambria"/>
          <w:b/>
          <w:color w:val="000000"/>
        </w:rPr>
        <w:t>IPTU ELETRÔNICO</w:t>
      </w:r>
      <w:r>
        <w:rPr>
          <w:rFonts w:ascii="Cambria" w:eastAsia="Cambria" w:hAnsi="Cambria" w:cs="Cambria"/>
          <w:color w:val="000000"/>
        </w:rPr>
        <w:t xml:space="preserve"> - Notificação do Lançamento do Imposto Predial e Territorial Urbano - IPTU e da Taxa de Coleta de Lixo por e-mail</w:t>
      </w:r>
      <w:r w:rsidR="00804650">
        <w:rPr>
          <w:rFonts w:ascii="Cambria" w:eastAsia="Cambria" w:hAnsi="Cambria" w:cs="Cambria"/>
          <w:color w:val="000000"/>
        </w:rPr>
        <w:t xml:space="preserve">, receberão a </w:t>
      </w:r>
      <w:r w:rsidR="00E639AF">
        <w:rPr>
          <w:rFonts w:ascii="Cambria" w:eastAsia="Cambria" w:hAnsi="Cambria" w:cs="Cambria"/>
          <w:color w:val="000000"/>
        </w:rPr>
        <w:t xml:space="preserve">mesma </w:t>
      </w:r>
      <w:r w:rsidR="00A12100">
        <w:rPr>
          <w:rFonts w:ascii="Cambria" w:eastAsia="Cambria" w:hAnsi="Cambria" w:cs="Cambria"/>
          <w:color w:val="000000"/>
        </w:rPr>
        <w:t>a partir do</w:t>
      </w:r>
      <w:r w:rsidR="00E639AF">
        <w:rPr>
          <w:rFonts w:ascii="Cambria" w:eastAsia="Cambria" w:hAnsi="Cambria" w:cs="Cambria"/>
          <w:color w:val="000000"/>
        </w:rPr>
        <w:t xml:space="preserve"> dia 09</w:t>
      </w:r>
      <w:r w:rsidR="00F90950">
        <w:rPr>
          <w:rFonts w:ascii="Cambria" w:eastAsia="Cambria" w:hAnsi="Cambria" w:cs="Cambria"/>
          <w:color w:val="000000"/>
        </w:rPr>
        <w:t>/01/2023</w:t>
      </w:r>
      <w:r>
        <w:rPr>
          <w:rFonts w:ascii="Cambria" w:eastAsia="Cambria" w:hAnsi="Cambria" w:cs="Cambria"/>
          <w:color w:val="000000"/>
        </w:rPr>
        <w:t>.</w:t>
      </w:r>
    </w:p>
    <w:p w14:paraId="5E9B53F0"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Os vencimentos serão os seguintes:</w:t>
      </w:r>
    </w:p>
    <w:p w14:paraId="07F00A63"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I – Em parcela única com os seguintes vencimentos:</w:t>
      </w:r>
    </w:p>
    <w:tbl>
      <w:tblPr>
        <w:tblStyle w:val="a"/>
        <w:tblW w:w="4479" w:type="dxa"/>
        <w:jc w:val="center"/>
        <w:tblInd w:w="0" w:type="dxa"/>
        <w:tblLayout w:type="fixed"/>
        <w:tblLook w:val="0400" w:firstRow="0" w:lastRow="0" w:firstColumn="0" w:lastColumn="0" w:noHBand="0" w:noVBand="1"/>
      </w:tblPr>
      <w:tblGrid>
        <w:gridCol w:w="2858"/>
        <w:gridCol w:w="1621"/>
      </w:tblGrid>
      <w:tr w:rsidR="002977FB" w14:paraId="61704D6A" w14:textId="77777777">
        <w:trPr>
          <w:trHeight w:val="404"/>
          <w:jc w:val="center"/>
        </w:trPr>
        <w:tc>
          <w:tcPr>
            <w:tcW w:w="2858" w:type="dxa"/>
            <w:tcBorders>
              <w:top w:val="single" w:sz="8" w:space="0" w:color="000000"/>
              <w:bottom w:val="single" w:sz="8" w:space="0" w:color="000000"/>
              <w:right w:val="single" w:sz="4" w:space="0" w:color="000000"/>
            </w:tcBorders>
            <w:tcMar>
              <w:top w:w="0" w:type="dxa"/>
              <w:left w:w="108" w:type="dxa"/>
              <w:bottom w:w="0" w:type="dxa"/>
              <w:right w:w="108" w:type="dxa"/>
            </w:tcMar>
            <w:vAlign w:val="center"/>
          </w:tcPr>
          <w:p w14:paraId="1ECB3688" w14:textId="77777777" w:rsidR="002977FB" w:rsidRDefault="00423F41">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b/>
                <w:color w:val="000000"/>
              </w:rPr>
              <w:t>OPÇÕES - PARCELA ÚNICA</w:t>
            </w:r>
          </w:p>
        </w:tc>
        <w:tc>
          <w:tcPr>
            <w:tcW w:w="1621"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74F7CC94" w14:textId="77777777" w:rsidR="002977FB" w:rsidRDefault="00423F41">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b/>
                <w:color w:val="000000"/>
              </w:rPr>
              <w:t>VENCIMENTO</w:t>
            </w:r>
          </w:p>
        </w:tc>
      </w:tr>
      <w:tr w:rsidR="002977FB" w14:paraId="148D40AA" w14:textId="77777777">
        <w:trPr>
          <w:trHeight w:val="419"/>
          <w:jc w:val="center"/>
        </w:trPr>
        <w:tc>
          <w:tcPr>
            <w:tcW w:w="2858" w:type="dxa"/>
            <w:tcBorders>
              <w:top w:val="single" w:sz="8" w:space="0" w:color="000000"/>
              <w:right w:val="single" w:sz="4" w:space="0" w:color="000000"/>
            </w:tcBorders>
            <w:shd w:val="clear" w:color="auto" w:fill="C0C0C0"/>
            <w:tcMar>
              <w:top w:w="0" w:type="dxa"/>
              <w:left w:w="108" w:type="dxa"/>
              <w:bottom w:w="0" w:type="dxa"/>
              <w:right w:w="108" w:type="dxa"/>
            </w:tcMar>
            <w:vAlign w:val="center"/>
          </w:tcPr>
          <w:p w14:paraId="2C56BAE5" w14:textId="77777777" w:rsidR="002977FB" w:rsidRDefault="00423F41">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1ª opção</w:t>
            </w:r>
          </w:p>
        </w:tc>
        <w:tc>
          <w:tcPr>
            <w:tcW w:w="1621" w:type="dxa"/>
            <w:tcBorders>
              <w:top w:val="single" w:sz="8" w:space="0" w:color="000000"/>
              <w:left w:val="single" w:sz="4" w:space="0" w:color="000000"/>
            </w:tcBorders>
            <w:shd w:val="clear" w:color="auto" w:fill="C0C0C0"/>
            <w:tcMar>
              <w:top w:w="0" w:type="dxa"/>
              <w:left w:w="108" w:type="dxa"/>
              <w:bottom w:w="0" w:type="dxa"/>
              <w:right w:w="108" w:type="dxa"/>
            </w:tcMar>
            <w:vAlign w:val="center"/>
          </w:tcPr>
          <w:p w14:paraId="164C9F70" w14:textId="77777777" w:rsidR="002977FB" w:rsidRDefault="00FA2DB9">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27/02/2023</w:t>
            </w:r>
          </w:p>
        </w:tc>
      </w:tr>
      <w:tr w:rsidR="002977FB" w14:paraId="5FDC8B79" w14:textId="77777777">
        <w:trPr>
          <w:trHeight w:val="404"/>
          <w:jc w:val="center"/>
        </w:trPr>
        <w:tc>
          <w:tcPr>
            <w:tcW w:w="2858" w:type="dxa"/>
            <w:tcBorders>
              <w:right w:val="single" w:sz="4" w:space="0" w:color="000000"/>
            </w:tcBorders>
            <w:tcMar>
              <w:top w:w="0" w:type="dxa"/>
              <w:left w:w="108" w:type="dxa"/>
              <w:bottom w:w="0" w:type="dxa"/>
              <w:right w:w="108" w:type="dxa"/>
            </w:tcMar>
            <w:vAlign w:val="center"/>
          </w:tcPr>
          <w:p w14:paraId="09F67D59" w14:textId="77777777" w:rsidR="002977FB" w:rsidRDefault="00423F41">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2ª opção</w:t>
            </w:r>
          </w:p>
        </w:tc>
        <w:tc>
          <w:tcPr>
            <w:tcW w:w="1621" w:type="dxa"/>
            <w:tcBorders>
              <w:left w:val="single" w:sz="4" w:space="0" w:color="000000"/>
            </w:tcBorders>
            <w:tcMar>
              <w:top w:w="0" w:type="dxa"/>
              <w:left w:w="108" w:type="dxa"/>
              <w:bottom w:w="0" w:type="dxa"/>
              <w:right w:w="108" w:type="dxa"/>
            </w:tcMar>
            <w:vAlign w:val="center"/>
          </w:tcPr>
          <w:p w14:paraId="50336CAA" w14:textId="77777777" w:rsidR="002977FB" w:rsidRDefault="00FA2DB9">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27/03/2023</w:t>
            </w:r>
          </w:p>
        </w:tc>
      </w:tr>
      <w:tr w:rsidR="002977FB" w14:paraId="5761566F" w14:textId="77777777">
        <w:trPr>
          <w:trHeight w:val="404"/>
          <w:jc w:val="center"/>
        </w:trPr>
        <w:tc>
          <w:tcPr>
            <w:tcW w:w="2858" w:type="dxa"/>
            <w:tcBorders>
              <w:bottom w:val="single" w:sz="8" w:space="0" w:color="000000"/>
              <w:right w:val="single" w:sz="4" w:space="0" w:color="000000"/>
            </w:tcBorders>
            <w:shd w:val="clear" w:color="auto" w:fill="C0C0C0"/>
            <w:tcMar>
              <w:top w:w="0" w:type="dxa"/>
              <w:left w:w="108" w:type="dxa"/>
              <w:bottom w:w="0" w:type="dxa"/>
              <w:right w:w="108" w:type="dxa"/>
            </w:tcMar>
            <w:vAlign w:val="center"/>
          </w:tcPr>
          <w:p w14:paraId="2ADF995E" w14:textId="77777777" w:rsidR="002977FB" w:rsidRDefault="00423F41">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3ª opção</w:t>
            </w:r>
          </w:p>
        </w:tc>
        <w:tc>
          <w:tcPr>
            <w:tcW w:w="1621" w:type="dxa"/>
            <w:tcBorders>
              <w:left w:val="single" w:sz="4" w:space="0" w:color="000000"/>
              <w:bottom w:val="single" w:sz="8" w:space="0" w:color="000000"/>
            </w:tcBorders>
            <w:shd w:val="clear" w:color="auto" w:fill="C0C0C0"/>
            <w:tcMar>
              <w:top w:w="0" w:type="dxa"/>
              <w:left w:w="108" w:type="dxa"/>
              <w:bottom w:w="0" w:type="dxa"/>
              <w:right w:w="108" w:type="dxa"/>
            </w:tcMar>
            <w:vAlign w:val="center"/>
          </w:tcPr>
          <w:p w14:paraId="5F0B8104" w14:textId="77777777" w:rsidR="002977FB" w:rsidRDefault="00FA2DB9">
            <w:pPr>
              <w:spacing w:after="0" w:line="240" w:lineRule="auto"/>
              <w:ind w:firstLine="29"/>
              <w:jc w:val="center"/>
              <w:rPr>
                <w:rFonts w:ascii="Times New Roman" w:eastAsia="Times New Roman" w:hAnsi="Times New Roman" w:cs="Times New Roman"/>
                <w:sz w:val="24"/>
                <w:szCs w:val="24"/>
              </w:rPr>
            </w:pPr>
            <w:r>
              <w:rPr>
                <w:rFonts w:ascii="Cambria" w:eastAsia="Cambria" w:hAnsi="Cambria" w:cs="Cambria"/>
                <w:color w:val="000000"/>
              </w:rPr>
              <w:t>27/04/2023</w:t>
            </w:r>
          </w:p>
        </w:tc>
      </w:tr>
    </w:tbl>
    <w:p w14:paraId="4C3DD450" w14:textId="77777777" w:rsidR="002977FB" w:rsidRDefault="002977FB">
      <w:pPr>
        <w:spacing w:after="0" w:line="240" w:lineRule="auto"/>
        <w:rPr>
          <w:rFonts w:ascii="Times New Roman" w:eastAsia="Times New Roman" w:hAnsi="Times New Roman" w:cs="Times New Roman"/>
          <w:sz w:val="24"/>
          <w:szCs w:val="24"/>
        </w:rPr>
      </w:pPr>
    </w:p>
    <w:p w14:paraId="7B06E1CB"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II – De forma parcelada, o venc</w:t>
      </w:r>
      <w:r w:rsidR="00804650">
        <w:rPr>
          <w:rFonts w:ascii="Cambria" w:eastAsia="Cambria" w:hAnsi="Cambria" w:cs="Cambria"/>
          <w:color w:val="000000"/>
        </w:rPr>
        <w:t xml:space="preserve">imento da </w:t>
      </w:r>
      <w:r w:rsidR="00FA2DB9">
        <w:rPr>
          <w:rFonts w:ascii="Cambria" w:eastAsia="Cambria" w:hAnsi="Cambria" w:cs="Cambria"/>
          <w:color w:val="000000"/>
        </w:rPr>
        <w:t>primeira parcela em 27 de fevereiro de 2023</w:t>
      </w:r>
      <w:r>
        <w:rPr>
          <w:rFonts w:ascii="Cambria" w:eastAsia="Cambria" w:hAnsi="Cambria" w:cs="Cambria"/>
          <w:color w:val="000000"/>
        </w:rPr>
        <w:t>.</w:t>
      </w:r>
    </w:p>
    <w:p w14:paraId="521115B1" w14:textId="77777777" w:rsidR="002977FB" w:rsidRDefault="002977FB">
      <w:pPr>
        <w:spacing w:after="0" w:line="240" w:lineRule="auto"/>
        <w:rPr>
          <w:rFonts w:ascii="Times New Roman" w:eastAsia="Times New Roman" w:hAnsi="Times New Roman" w:cs="Times New Roman"/>
          <w:sz w:val="24"/>
          <w:szCs w:val="24"/>
        </w:rPr>
      </w:pPr>
    </w:p>
    <w:p w14:paraId="747A0555"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2. Quem não receber o Carnê</w:t>
      </w:r>
    </w:p>
    <w:p w14:paraId="0C21F6B5" w14:textId="77777777" w:rsidR="005536BD" w:rsidRDefault="00423F41" w:rsidP="005536BD">
      <w:pPr>
        <w:spacing w:after="0" w:line="276" w:lineRule="auto"/>
        <w:ind w:firstLine="709"/>
        <w:jc w:val="both"/>
        <w:rPr>
          <w:rFonts w:ascii="Cambria" w:eastAsia="Cambria" w:hAnsi="Cambria" w:cs="Cambria"/>
          <w:color w:val="000000"/>
        </w:rPr>
      </w:pPr>
      <w:r>
        <w:rPr>
          <w:rFonts w:ascii="Cambria" w:eastAsia="Cambria" w:hAnsi="Cambria" w:cs="Cambria"/>
          <w:color w:val="000000"/>
        </w:rPr>
        <w:t>A obtenção</w:t>
      </w:r>
      <w:r w:rsidR="00FA2DB9">
        <w:rPr>
          <w:rFonts w:ascii="Cambria" w:eastAsia="Cambria" w:hAnsi="Cambria" w:cs="Cambria"/>
          <w:color w:val="000000"/>
        </w:rPr>
        <w:t xml:space="preserve"> da 2ª via do carnê de IPTU 2023</w:t>
      </w:r>
      <w:r>
        <w:rPr>
          <w:rFonts w:ascii="Cambria" w:eastAsia="Cambria" w:hAnsi="Cambria" w:cs="Cambria"/>
          <w:color w:val="000000"/>
        </w:rPr>
        <w:t xml:space="preserve"> </w:t>
      </w:r>
      <w:r w:rsidR="00804650">
        <w:rPr>
          <w:rFonts w:ascii="Cambria" w:eastAsia="Cambria" w:hAnsi="Cambria" w:cs="Cambria"/>
          <w:color w:val="000000"/>
        </w:rPr>
        <w:t>estará d</w:t>
      </w:r>
      <w:r w:rsidR="00E639AF">
        <w:rPr>
          <w:rFonts w:ascii="Cambria" w:eastAsia="Cambria" w:hAnsi="Cambria" w:cs="Cambria"/>
          <w:color w:val="000000"/>
        </w:rPr>
        <w:t>isponível a partir de 1</w:t>
      </w:r>
      <w:r w:rsidR="00A12100">
        <w:rPr>
          <w:rFonts w:ascii="Cambria" w:eastAsia="Cambria" w:hAnsi="Cambria" w:cs="Cambria"/>
          <w:color w:val="000000"/>
        </w:rPr>
        <w:t>6</w:t>
      </w:r>
      <w:r w:rsidR="00FA2DB9">
        <w:rPr>
          <w:rFonts w:ascii="Cambria" w:eastAsia="Cambria" w:hAnsi="Cambria" w:cs="Cambria"/>
          <w:color w:val="000000"/>
        </w:rPr>
        <w:t>/01/2023</w:t>
      </w:r>
      <w:r>
        <w:rPr>
          <w:rFonts w:ascii="Cambria" w:eastAsia="Cambria" w:hAnsi="Cambria" w:cs="Cambria"/>
          <w:color w:val="000000"/>
        </w:rPr>
        <w:t xml:space="preserve">, por meio do site da Prefeitura: </w:t>
      </w:r>
      <w:hyperlink r:id="rId9">
        <w:r>
          <w:rPr>
            <w:rFonts w:ascii="Cambria" w:eastAsia="Cambria" w:hAnsi="Cambria" w:cs="Cambria"/>
            <w:color w:val="0563C1"/>
            <w:u w:val="single"/>
          </w:rPr>
          <w:t>www.jundiai.sp.gov.br</w:t>
        </w:r>
      </w:hyperlink>
      <w:r>
        <w:rPr>
          <w:rFonts w:ascii="Cambria" w:eastAsia="Cambria" w:hAnsi="Cambria" w:cs="Cambria"/>
          <w:color w:val="000000"/>
        </w:rPr>
        <w:t xml:space="preserve"> em Serviços ao Cidadão.</w:t>
      </w:r>
      <w:r w:rsidR="005536BD">
        <w:rPr>
          <w:rFonts w:ascii="Cambria" w:eastAsia="Cambria" w:hAnsi="Cambria" w:cs="Cambria"/>
          <w:color w:val="000000"/>
        </w:rPr>
        <w:t xml:space="preserve">  </w:t>
      </w:r>
    </w:p>
    <w:p w14:paraId="082B8C83" w14:textId="0ECC40E5" w:rsidR="002977FB" w:rsidRDefault="005536BD" w:rsidP="005536BD">
      <w:pPr>
        <w:spacing w:after="0" w:line="276" w:lineRule="auto"/>
        <w:jc w:val="both"/>
        <w:rPr>
          <w:rFonts w:ascii="Cambria" w:eastAsia="Cambria" w:hAnsi="Cambria" w:cs="Cambria"/>
          <w:color w:val="000000"/>
        </w:rPr>
      </w:pPr>
      <w:r>
        <w:rPr>
          <w:rFonts w:ascii="Cambria" w:eastAsia="Cambria" w:hAnsi="Cambria" w:cs="Cambria"/>
          <w:color w:val="000000"/>
        </w:rPr>
        <w:t xml:space="preserve">Link: </w:t>
      </w:r>
      <w:hyperlink r:id="rId10" w:history="1">
        <w:r w:rsidRPr="00DC7160">
          <w:rPr>
            <w:rStyle w:val="Hyperlink"/>
            <w:rFonts w:ascii="Cambria" w:eastAsia="Cambria" w:hAnsi="Cambria" w:cs="Cambria"/>
          </w:rPr>
          <w:t>https://jundiai.sp.gov.br/servicos-online/segunda-via-da-parcela-do-iptu/</w:t>
        </w:r>
      </w:hyperlink>
    </w:p>
    <w:p w14:paraId="5C22C495" w14:textId="77777777" w:rsidR="005536BD" w:rsidRDefault="005536BD" w:rsidP="005536BD">
      <w:pPr>
        <w:spacing w:after="0" w:line="276" w:lineRule="auto"/>
        <w:jc w:val="both"/>
        <w:rPr>
          <w:rFonts w:ascii="Cambria" w:eastAsia="Cambria" w:hAnsi="Cambria" w:cs="Cambria"/>
          <w:color w:val="000000"/>
        </w:rPr>
      </w:pPr>
    </w:p>
    <w:p w14:paraId="09BA302C"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O contribuinte que não receber</w:t>
      </w:r>
      <w:r w:rsidR="00C07AB5">
        <w:rPr>
          <w:rFonts w:ascii="Cambria" w:eastAsia="Cambria" w:hAnsi="Cambria" w:cs="Cambria"/>
          <w:color w:val="000000"/>
        </w:rPr>
        <w:t xml:space="preserve"> o carnê até a data limite de 20</w:t>
      </w:r>
      <w:r w:rsidR="00E639AF">
        <w:rPr>
          <w:rFonts w:ascii="Cambria" w:eastAsia="Cambria" w:hAnsi="Cambria" w:cs="Cambria"/>
          <w:color w:val="000000"/>
        </w:rPr>
        <w:t>/02/2023</w:t>
      </w:r>
      <w:r>
        <w:rPr>
          <w:rFonts w:ascii="Cambria" w:eastAsia="Cambria" w:hAnsi="Cambria" w:cs="Cambria"/>
          <w:color w:val="000000"/>
        </w:rPr>
        <w:t>, poderá ainda, requerê-lo, no posto de atendimento da Prefeitura no POUPATEMPO, localizado na Av. União dos Ferroviários, 1760, de segun</w:t>
      </w:r>
      <w:r w:rsidR="003058AC">
        <w:rPr>
          <w:rFonts w:ascii="Cambria" w:eastAsia="Cambria" w:hAnsi="Cambria" w:cs="Cambria"/>
          <w:color w:val="000000"/>
        </w:rPr>
        <w:t>da a sexta-feira, das 9h00 às 17</w:t>
      </w:r>
      <w:r>
        <w:rPr>
          <w:rFonts w:ascii="Cambria" w:eastAsia="Cambria" w:hAnsi="Cambria" w:cs="Cambria"/>
          <w:color w:val="000000"/>
        </w:rPr>
        <w:t>h00 e aos sábados, das 9h00 às</w:t>
      </w:r>
      <w:r>
        <w:rPr>
          <w:rFonts w:ascii="Cambria" w:eastAsia="Cambria" w:hAnsi="Cambria" w:cs="Cambria"/>
          <w:color w:val="FF0000"/>
        </w:rPr>
        <w:t xml:space="preserve"> </w:t>
      </w:r>
      <w:r>
        <w:rPr>
          <w:rFonts w:ascii="Cambria" w:eastAsia="Cambria" w:hAnsi="Cambria" w:cs="Cambria"/>
          <w:color w:val="000000"/>
        </w:rPr>
        <w:t>13h00, mediante a exibição do carnê do IPTU relativo ao exercício anterior.</w:t>
      </w:r>
    </w:p>
    <w:p w14:paraId="46D6AC66" w14:textId="77777777" w:rsidR="002977FB" w:rsidRDefault="002977FB">
      <w:pPr>
        <w:spacing w:after="0" w:line="240" w:lineRule="auto"/>
        <w:rPr>
          <w:rFonts w:ascii="Times New Roman" w:eastAsia="Times New Roman" w:hAnsi="Times New Roman" w:cs="Times New Roman"/>
          <w:sz w:val="24"/>
          <w:szCs w:val="24"/>
        </w:rPr>
      </w:pPr>
    </w:p>
    <w:p w14:paraId="34A0A989" w14:textId="77777777" w:rsidR="002977FB" w:rsidRDefault="002977FB">
      <w:pPr>
        <w:spacing w:after="200" w:line="240" w:lineRule="auto"/>
        <w:jc w:val="both"/>
        <w:rPr>
          <w:rFonts w:ascii="Cambria" w:eastAsia="Cambria" w:hAnsi="Cambria" w:cs="Cambria"/>
          <w:b/>
          <w:color w:val="000000"/>
        </w:rPr>
      </w:pPr>
    </w:p>
    <w:p w14:paraId="1294B681" w14:textId="77777777" w:rsidR="002977FB" w:rsidRDefault="002977FB">
      <w:pPr>
        <w:spacing w:after="200" w:line="240" w:lineRule="auto"/>
        <w:jc w:val="both"/>
        <w:rPr>
          <w:rFonts w:ascii="Cambria" w:eastAsia="Cambria" w:hAnsi="Cambria" w:cs="Cambria"/>
          <w:b/>
          <w:color w:val="000000"/>
        </w:rPr>
      </w:pPr>
    </w:p>
    <w:p w14:paraId="4D4393F0" w14:textId="77777777" w:rsidR="00547832" w:rsidRDefault="00547832">
      <w:pPr>
        <w:spacing w:after="200" w:line="240" w:lineRule="auto"/>
        <w:jc w:val="both"/>
        <w:rPr>
          <w:rFonts w:ascii="Cambria" w:eastAsia="Cambria" w:hAnsi="Cambria" w:cs="Cambria"/>
          <w:b/>
          <w:color w:val="000000"/>
        </w:rPr>
      </w:pPr>
    </w:p>
    <w:p w14:paraId="6E2A1C25" w14:textId="6AFB7EFD"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lastRenderedPageBreak/>
        <w:t>3. Do lançamento do IPTU</w:t>
      </w:r>
    </w:p>
    <w:p w14:paraId="6086BADD" w14:textId="77777777" w:rsidR="002977FB" w:rsidRDefault="00423F41">
      <w:pPr>
        <w:spacing w:after="200" w:line="240" w:lineRule="auto"/>
        <w:ind w:firstLine="709"/>
        <w:jc w:val="both"/>
        <w:rPr>
          <w:rFonts w:ascii="Cambria" w:eastAsia="Cambria" w:hAnsi="Cambria" w:cs="Cambria"/>
          <w:color w:val="000000"/>
        </w:rPr>
      </w:pPr>
      <w:r>
        <w:rPr>
          <w:rFonts w:ascii="Cambria" w:eastAsia="Cambria" w:hAnsi="Cambria" w:cs="Cambria"/>
          <w:color w:val="000000"/>
        </w:rPr>
        <w:t xml:space="preserve">O lançamento do IPTU considerará as condições, características e área do </w:t>
      </w:r>
      <w:r w:rsidR="00804650">
        <w:rPr>
          <w:rFonts w:ascii="Cambria" w:eastAsia="Cambria" w:hAnsi="Cambria" w:cs="Cambria"/>
          <w:color w:val="000000"/>
        </w:rPr>
        <w:t>imóvel em 1º de jan</w:t>
      </w:r>
      <w:r w:rsidR="00FA2DB9">
        <w:rPr>
          <w:rFonts w:ascii="Cambria" w:eastAsia="Cambria" w:hAnsi="Cambria" w:cs="Cambria"/>
          <w:color w:val="000000"/>
        </w:rPr>
        <w:t>eiro de 2023</w:t>
      </w:r>
      <w:r w:rsidR="00804650">
        <w:rPr>
          <w:rFonts w:ascii="Cambria" w:eastAsia="Cambria" w:hAnsi="Cambria" w:cs="Cambria"/>
          <w:color w:val="000000"/>
        </w:rPr>
        <w:t>.</w:t>
      </w:r>
    </w:p>
    <w:p w14:paraId="2BBBA134" w14:textId="77777777" w:rsidR="002977FB" w:rsidRDefault="002977FB">
      <w:pPr>
        <w:spacing w:after="200" w:line="240" w:lineRule="auto"/>
        <w:jc w:val="both"/>
        <w:rPr>
          <w:rFonts w:ascii="Cambria" w:eastAsia="Cambria" w:hAnsi="Cambria" w:cs="Cambria"/>
          <w:b/>
          <w:color w:val="000000"/>
        </w:rPr>
      </w:pPr>
    </w:p>
    <w:p w14:paraId="58241777"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4. Dos valores e da base de cálculo atualizada</w:t>
      </w:r>
    </w:p>
    <w:p w14:paraId="7BA50652"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A base de cálculo do IPTU, nos termos do art. 111 c/c art. 115 da Lei Complementar nº 460/08 e alterações subsequentes, é o valor venal do imóvel, estabelecido de conformidade com a Planta Genérica de Valores, instituída pela Lei municipal nº 3.637/1990, alterada pelas Leis Complementares n° 93/1993, n° 94/1993, n° 123/1994 e 239/1997, atualizado monetar</w:t>
      </w:r>
      <w:r w:rsidR="00E639AF">
        <w:rPr>
          <w:rFonts w:ascii="Cambria" w:eastAsia="Cambria" w:hAnsi="Cambria" w:cs="Cambria"/>
          <w:color w:val="000000"/>
        </w:rPr>
        <w:t>iamente para o exercício de 2023</w:t>
      </w:r>
      <w:r>
        <w:rPr>
          <w:rFonts w:ascii="Cambria" w:eastAsia="Cambria" w:hAnsi="Cambria" w:cs="Cambria"/>
          <w:color w:val="000000"/>
        </w:rPr>
        <w:t xml:space="preserve"> no pe</w:t>
      </w:r>
      <w:r w:rsidR="00683B42">
        <w:rPr>
          <w:rFonts w:ascii="Cambria" w:eastAsia="Cambria" w:hAnsi="Cambria" w:cs="Cambria"/>
          <w:color w:val="000000"/>
        </w:rPr>
        <w:t xml:space="preserve">rcentual de </w:t>
      </w:r>
      <w:r w:rsidR="007522B7" w:rsidRPr="007522B7">
        <w:rPr>
          <w:rFonts w:ascii="Cambria" w:eastAsia="Cambria" w:hAnsi="Cambria" w:cs="Cambria"/>
        </w:rPr>
        <w:t xml:space="preserve">5,97 </w:t>
      </w:r>
      <w:r>
        <w:rPr>
          <w:rFonts w:ascii="Cambria" w:eastAsia="Cambria" w:hAnsi="Cambria" w:cs="Cambria"/>
          <w:color w:val="000000"/>
        </w:rPr>
        <w:t>%, (</w:t>
      </w:r>
      <w:r w:rsidR="007522B7">
        <w:rPr>
          <w:rFonts w:ascii="Cambria" w:eastAsia="Cambria" w:hAnsi="Cambria" w:cs="Cambria"/>
          <w:color w:val="000000"/>
        </w:rPr>
        <w:t>Cinco inteiros e noventa e sete</w:t>
      </w:r>
      <w:r w:rsidR="00DD3107">
        <w:rPr>
          <w:rFonts w:ascii="Cambria" w:eastAsia="Cambria" w:hAnsi="Cambria" w:cs="Cambria"/>
          <w:color w:val="000000"/>
        </w:rPr>
        <w:t xml:space="preserve"> ce</w:t>
      </w:r>
      <w:r w:rsidR="00D1792B">
        <w:rPr>
          <w:rFonts w:ascii="Cambria" w:eastAsia="Cambria" w:hAnsi="Cambria" w:cs="Cambria"/>
          <w:color w:val="000000"/>
        </w:rPr>
        <w:t>n</w:t>
      </w:r>
      <w:r w:rsidR="004A0B43">
        <w:rPr>
          <w:rFonts w:ascii="Cambria" w:eastAsia="Cambria" w:hAnsi="Cambria" w:cs="Cambria"/>
          <w:color w:val="000000"/>
        </w:rPr>
        <w:t>tésimos</w:t>
      </w:r>
      <w:r>
        <w:rPr>
          <w:rFonts w:ascii="Cambria" w:eastAsia="Cambria" w:hAnsi="Cambria" w:cs="Cambria"/>
          <w:color w:val="000000"/>
        </w:rPr>
        <w:t>) de acordo com a variação do Índice Nacional de Preços ao Consumidor - INPC do IBGE, apurado no exercício anterior.</w:t>
      </w:r>
    </w:p>
    <w:p w14:paraId="04F06CAE" w14:textId="0E51CB19" w:rsidR="002977FB" w:rsidRDefault="00423F41">
      <w:pPr>
        <w:spacing w:after="200" w:line="240" w:lineRule="auto"/>
        <w:ind w:firstLine="709"/>
        <w:jc w:val="both"/>
        <w:rPr>
          <w:rFonts w:ascii="Cambria" w:eastAsia="Cambria" w:hAnsi="Cambria" w:cs="Cambria"/>
          <w:color w:val="000000"/>
        </w:rPr>
      </w:pPr>
      <w:r>
        <w:rPr>
          <w:rFonts w:ascii="Cambria" w:eastAsia="Cambria" w:hAnsi="Cambria" w:cs="Cambria"/>
          <w:color w:val="000000"/>
        </w:rPr>
        <w:t xml:space="preserve">É possível consultar o valor venal do imóvel no campo próprio na capa do carnê ou no site: </w:t>
      </w:r>
      <w:r>
        <w:rPr>
          <w:rFonts w:ascii="Cambria" w:eastAsia="Cambria" w:hAnsi="Cambria" w:cs="Cambria"/>
          <w:i/>
          <w:color w:val="000000"/>
        </w:rPr>
        <w:t>www.jundiai.sp.gov.br</w:t>
      </w:r>
      <w:r>
        <w:rPr>
          <w:rFonts w:ascii="Cambria" w:eastAsia="Cambria" w:hAnsi="Cambria" w:cs="Cambria"/>
          <w:color w:val="000000"/>
        </w:rPr>
        <w:t xml:space="preserve"> em SERVIÇOS AO CIDADÃO - MEU IPTU</w:t>
      </w:r>
    </w:p>
    <w:p w14:paraId="72E94902" w14:textId="6560777A" w:rsidR="005536BD" w:rsidRDefault="005536BD" w:rsidP="005536BD">
      <w:pPr>
        <w:spacing w:after="200" w:line="240" w:lineRule="auto"/>
        <w:jc w:val="both"/>
        <w:rPr>
          <w:rFonts w:ascii="Cambria" w:eastAsia="Cambria" w:hAnsi="Cambria" w:cs="Cambria"/>
          <w:color w:val="000000"/>
        </w:rPr>
      </w:pPr>
      <w:r>
        <w:rPr>
          <w:rFonts w:ascii="Cambria" w:eastAsia="Cambria" w:hAnsi="Cambria" w:cs="Cambria"/>
          <w:color w:val="000000"/>
        </w:rPr>
        <w:t xml:space="preserve">Link: </w:t>
      </w:r>
      <w:r w:rsidR="00677830" w:rsidRPr="00677830">
        <w:rPr>
          <w:rFonts w:ascii="Cambria" w:eastAsia="Cambria" w:hAnsi="Cambria" w:cs="Cambria"/>
          <w:color w:val="000000"/>
        </w:rPr>
        <w:t>https://jundiai.sp.gov.br/servicos-online/aviso-de-lancamento-do-iptu-capa/</w:t>
      </w:r>
    </w:p>
    <w:p w14:paraId="1686107A" w14:textId="77777777" w:rsidR="002977FB" w:rsidRDefault="002977FB">
      <w:pPr>
        <w:spacing w:after="200" w:line="240" w:lineRule="auto"/>
        <w:jc w:val="both"/>
        <w:rPr>
          <w:rFonts w:ascii="Cambria" w:eastAsia="Cambria" w:hAnsi="Cambria" w:cs="Cambria"/>
          <w:b/>
          <w:color w:val="000000"/>
        </w:rPr>
      </w:pPr>
    </w:p>
    <w:p w14:paraId="3032D3D1"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5. Das alíquotas</w:t>
      </w:r>
    </w:p>
    <w:p w14:paraId="28F4B4F2"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Nos termos do art. 111, incisos I e II, da Lei Complementar nº 460/08 e alterações subseq</w:t>
      </w:r>
      <w:r w:rsidR="00E639AF">
        <w:rPr>
          <w:rFonts w:ascii="Cambria" w:eastAsia="Cambria" w:hAnsi="Cambria" w:cs="Cambria"/>
          <w:color w:val="000000"/>
        </w:rPr>
        <w:t>uentes, para o exercício de 2023</w:t>
      </w:r>
      <w:r>
        <w:rPr>
          <w:rFonts w:ascii="Cambria" w:eastAsia="Cambria" w:hAnsi="Cambria" w:cs="Cambria"/>
          <w:color w:val="000000"/>
        </w:rPr>
        <w:t xml:space="preserve"> as alíquotas são as seguintes:</w:t>
      </w:r>
    </w:p>
    <w:p w14:paraId="4ECE6E59" w14:textId="77777777" w:rsidR="002977FB" w:rsidRDefault="00423F41">
      <w:pPr>
        <w:numPr>
          <w:ilvl w:val="0"/>
          <w:numId w:val="2"/>
        </w:numPr>
        <w:spacing w:after="200" w:line="240" w:lineRule="auto"/>
        <w:ind w:left="1069"/>
        <w:jc w:val="both"/>
        <w:rPr>
          <w:rFonts w:ascii="Arial" w:eastAsia="Arial" w:hAnsi="Arial" w:cs="Arial"/>
          <w:color w:val="000000"/>
        </w:rPr>
      </w:pPr>
      <w:r>
        <w:rPr>
          <w:rFonts w:ascii="Cambria" w:eastAsia="Cambria" w:hAnsi="Cambria" w:cs="Cambria"/>
          <w:color w:val="000000"/>
        </w:rPr>
        <w:t>TERRENO: 2,0% do valor venal territorial</w:t>
      </w:r>
    </w:p>
    <w:p w14:paraId="606C1C47" w14:textId="77777777" w:rsidR="002977FB" w:rsidRDefault="00423F41">
      <w:pPr>
        <w:numPr>
          <w:ilvl w:val="0"/>
          <w:numId w:val="2"/>
        </w:numPr>
        <w:spacing w:after="200" w:line="240" w:lineRule="auto"/>
        <w:ind w:left="1069"/>
        <w:jc w:val="both"/>
        <w:rPr>
          <w:rFonts w:ascii="Arial" w:eastAsia="Arial" w:hAnsi="Arial" w:cs="Arial"/>
          <w:color w:val="000000"/>
        </w:rPr>
      </w:pPr>
      <w:r>
        <w:rPr>
          <w:rFonts w:ascii="Cambria" w:eastAsia="Cambria" w:hAnsi="Cambria" w:cs="Cambria"/>
          <w:color w:val="000000"/>
        </w:rPr>
        <w:t>TERRENO COM CONSTRUÇÃO: 1,5% do valor venal total</w:t>
      </w:r>
    </w:p>
    <w:p w14:paraId="2E85C8BB" w14:textId="77777777" w:rsidR="002977FB" w:rsidRDefault="002977FB">
      <w:pPr>
        <w:spacing w:after="200" w:line="240" w:lineRule="auto"/>
        <w:jc w:val="both"/>
        <w:rPr>
          <w:rFonts w:ascii="Cambria" w:eastAsia="Cambria" w:hAnsi="Cambria" w:cs="Cambria"/>
          <w:b/>
          <w:color w:val="000000"/>
        </w:rPr>
      </w:pPr>
    </w:p>
    <w:p w14:paraId="5D7267DA"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6. Do prazo para impugnação do lançamento</w:t>
      </w:r>
    </w:p>
    <w:p w14:paraId="0906FFB3"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O contribuinte tem 30 (trinta) dias contados da data do recebimento do Carnê para impugnar eventuais incorreções contidas no referido lançamento, tais como metragem equivocada, padrão do imóvel etc.</w:t>
      </w:r>
    </w:p>
    <w:p w14:paraId="6C8C1FE9"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Ressalta-se ainda, que para o envio eletrônico dos carnês, presume-se feita a notificação do lançamento do IPTU e da Taxa de Coleta de Lixo na data da confirmação da leitura, que deverá ocorrer em até 15 (quinze) dias do envio da mensagem, sob pena de ser considerada automaticamente realizada na data do término desse prazo.</w:t>
      </w:r>
    </w:p>
    <w:p w14:paraId="56B11C16" w14:textId="77777777" w:rsidR="00683B42" w:rsidRDefault="00683B42">
      <w:pPr>
        <w:spacing w:after="200" w:line="240" w:lineRule="auto"/>
        <w:jc w:val="both"/>
        <w:rPr>
          <w:rFonts w:ascii="Cambria" w:eastAsia="Cambria" w:hAnsi="Cambria" w:cs="Cambria"/>
          <w:b/>
          <w:color w:val="000000"/>
        </w:rPr>
      </w:pPr>
    </w:p>
    <w:p w14:paraId="638F6E4D"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7. Das formas de pagamento</w:t>
      </w:r>
    </w:p>
    <w:p w14:paraId="108778E9" w14:textId="77777777" w:rsidR="002977FB" w:rsidRDefault="00423F41" w:rsidP="00517CE5">
      <w:pPr>
        <w:spacing w:after="200" w:line="240" w:lineRule="auto"/>
        <w:ind w:firstLine="709"/>
        <w:jc w:val="both"/>
        <w:rPr>
          <w:rFonts w:ascii="Cambria" w:eastAsia="Cambria" w:hAnsi="Cambria" w:cs="Cambria"/>
          <w:color w:val="000000"/>
        </w:rPr>
      </w:pPr>
      <w:r>
        <w:rPr>
          <w:rFonts w:ascii="Cambria" w:eastAsia="Cambria" w:hAnsi="Cambria" w:cs="Cambria"/>
          <w:color w:val="000000"/>
        </w:rPr>
        <w:t>O pagamento do IPTU poderá ser efetuado em parcela única, ou em até 10 (dez) parcelas, respeitadas nesse caso, as seguintes faixas de valores:</w:t>
      </w:r>
    </w:p>
    <w:p w14:paraId="38363C91" w14:textId="77777777" w:rsidR="00517CE5" w:rsidRDefault="00517CE5" w:rsidP="00517CE5">
      <w:pPr>
        <w:spacing w:after="200" w:line="240" w:lineRule="auto"/>
        <w:ind w:firstLine="709"/>
        <w:jc w:val="both"/>
        <w:rPr>
          <w:rFonts w:ascii="Cambria" w:eastAsia="Cambria" w:hAnsi="Cambria" w:cs="Cambria"/>
          <w:color w:val="000000"/>
        </w:rPr>
      </w:pPr>
    </w:p>
    <w:p w14:paraId="13BE49D1" w14:textId="77777777" w:rsidR="00517CE5" w:rsidRDefault="00517CE5" w:rsidP="00517CE5">
      <w:pPr>
        <w:spacing w:after="200" w:line="240" w:lineRule="auto"/>
        <w:ind w:firstLine="709"/>
        <w:jc w:val="both"/>
        <w:rPr>
          <w:rFonts w:ascii="Cambria" w:eastAsia="Cambria" w:hAnsi="Cambria" w:cs="Cambria"/>
          <w:color w:val="000000"/>
        </w:rPr>
      </w:pPr>
    </w:p>
    <w:p w14:paraId="49C550BD" w14:textId="77777777" w:rsidR="00517CE5" w:rsidRDefault="00517CE5" w:rsidP="00677830">
      <w:pPr>
        <w:spacing w:after="200" w:line="240" w:lineRule="auto"/>
        <w:jc w:val="both"/>
        <w:rPr>
          <w:rFonts w:ascii="Cambria" w:eastAsia="Cambria" w:hAnsi="Cambria" w:cs="Cambria"/>
          <w:color w:val="000000"/>
        </w:rPr>
      </w:pPr>
    </w:p>
    <w:p w14:paraId="31B74DBC" w14:textId="77777777" w:rsidR="00517CE5" w:rsidRPr="00517CE5" w:rsidRDefault="00517CE5" w:rsidP="00517CE5">
      <w:pPr>
        <w:spacing w:after="200" w:line="240" w:lineRule="auto"/>
        <w:ind w:firstLine="709"/>
        <w:jc w:val="both"/>
        <w:rPr>
          <w:rFonts w:ascii="Cambria" w:eastAsia="Cambria" w:hAnsi="Cambria" w:cs="Cambria"/>
          <w:color w:val="000000"/>
        </w:rPr>
      </w:pPr>
    </w:p>
    <w:tbl>
      <w:tblPr>
        <w:tblStyle w:val="a0"/>
        <w:tblW w:w="5112" w:type="dxa"/>
        <w:jc w:val="center"/>
        <w:tblInd w:w="0" w:type="dxa"/>
        <w:tblLayout w:type="fixed"/>
        <w:tblLook w:val="0400" w:firstRow="0" w:lastRow="0" w:firstColumn="0" w:lastColumn="0" w:noHBand="0" w:noVBand="1"/>
      </w:tblPr>
      <w:tblGrid>
        <w:gridCol w:w="1183"/>
        <w:gridCol w:w="1243"/>
        <w:gridCol w:w="2686"/>
      </w:tblGrid>
      <w:tr w:rsidR="002977FB" w14:paraId="4A1578BC" w14:textId="77777777">
        <w:trPr>
          <w:trHeight w:val="369"/>
          <w:jc w:val="center"/>
        </w:trPr>
        <w:tc>
          <w:tcPr>
            <w:tcW w:w="2426" w:type="dxa"/>
            <w:gridSpan w:val="2"/>
            <w:tcBorders>
              <w:top w:val="single" w:sz="8" w:space="0" w:color="000000"/>
              <w:bottom w:val="single" w:sz="4" w:space="0" w:color="000000"/>
              <w:right w:val="single" w:sz="4" w:space="0" w:color="000000"/>
            </w:tcBorders>
            <w:tcMar>
              <w:top w:w="0" w:type="dxa"/>
              <w:left w:w="108" w:type="dxa"/>
              <w:bottom w:w="0" w:type="dxa"/>
              <w:right w:w="108" w:type="dxa"/>
            </w:tcMar>
            <w:vAlign w:val="center"/>
          </w:tcPr>
          <w:p w14:paraId="602DEE6D"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b/>
                <w:color w:val="000000"/>
              </w:rPr>
              <w:t>Valor do IPTU (R$)</w:t>
            </w:r>
          </w:p>
        </w:tc>
        <w:tc>
          <w:tcPr>
            <w:tcW w:w="2686"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5D20B03A"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b/>
                <w:color w:val="000000"/>
              </w:rPr>
              <w:t>Quantidade de parcelas.</w:t>
            </w:r>
          </w:p>
        </w:tc>
      </w:tr>
      <w:tr w:rsidR="002977FB" w14:paraId="29B90039" w14:textId="77777777">
        <w:trPr>
          <w:trHeight w:val="369"/>
          <w:jc w:val="center"/>
        </w:trPr>
        <w:tc>
          <w:tcPr>
            <w:tcW w:w="1183" w:type="dxa"/>
            <w:tcBorders>
              <w:top w:val="single" w:sz="4" w:space="0" w:color="000000"/>
            </w:tcBorders>
            <w:tcMar>
              <w:top w:w="0" w:type="dxa"/>
              <w:left w:w="108" w:type="dxa"/>
              <w:bottom w:w="0" w:type="dxa"/>
              <w:right w:w="108" w:type="dxa"/>
            </w:tcMar>
            <w:vAlign w:val="center"/>
          </w:tcPr>
          <w:p w14:paraId="34C5B211"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0,01</w:t>
            </w:r>
          </w:p>
        </w:tc>
        <w:tc>
          <w:tcPr>
            <w:tcW w:w="1243" w:type="dxa"/>
            <w:tcBorders>
              <w:top w:val="single" w:sz="4" w:space="0" w:color="000000"/>
              <w:right w:val="single" w:sz="4" w:space="0" w:color="000000"/>
            </w:tcBorders>
            <w:tcMar>
              <w:top w:w="0" w:type="dxa"/>
              <w:left w:w="108" w:type="dxa"/>
              <w:bottom w:w="0" w:type="dxa"/>
              <w:right w:w="108" w:type="dxa"/>
            </w:tcMar>
            <w:vAlign w:val="center"/>
          </w:tcPr>
          <w:p w14:paraId="1F4D13FD"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50,00</w:t>
            </w:r>
          </w:p>
        </w:tc>
        <w:tc>
          <w:tcPr>
            <w:tcW w:w="2686" w:type="dxa"/>
            <w:tcBorders>
              <w:top w:val="single" w:sz="4" w:space="0" w:color="000000"/>
              <w:left w:val="single" w:sz="4" w:space="0" w:color="000000"/>
            </w:tcBorders>
            <w:tcMar>
              <w:top w:w="0" w:type="dxa"/>
              <w:left w:w="108" w:type="dxa"/>
              <w:bottom w:w="0" w:type="dxa"/>
              <w:right w:w="108" w:type="dxa"/>
            </w:tcMar>
            <w:vAlign w:val="center"/>
          </w:tcPr>
          <w:p w14:paraId="6B049445"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2</w:t>
            </w:r>
          </w:p>
        </w:tc>
      </w:tr>
      <w:tr w:rsidR="002977FB" w14:paraId="5B55414D" w14:textId="77777777">
        <w:trPr>
          <w:trHeight w:val="369"/>
          <w:jc w:val="center"/>
        </w:trPr>
        <w:tc>
          <w:tcPr>
            <w:tcW w:w="1183" w:type="dxa"/>
            <w:shd w:val="clear" w:color="auto" w:fill="BFBFBF"/>
            <w:tcMar>
              <w:top w:w="0" w:type="dxa"/>
              <w:left w:w="108" w:type="dxa"/>
              <w:bottom w:w="0" w:type="dxa"/>
              <w:right w:w="108" w:type="dxa"/>
            </w:tcMar>
            <w:vAlign w:val="center"/>
          </w:tcPr>
          <w:p w14:paraId="394A4693"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50,01</w:t>
            </w:r>
          </w:p>
        </w:tc>
        <w:tc>
          <w:tcPr>
            <w:tcW w:w="1243" w:type="dxa"/>
            <w:tcBorders>
              <w:right w:val="single" w:sz="4" w:space="0" w:color="000000"/>
            </w:tcBorders>
            <w:shd w:val="clear" w:color="auto" w:fill="BFBFBF"/>
            <w:tcMar>
              <w:top w:w="0" w:type="dxa"/>
              <w:left w:w="108" w:type="dxa"/>
              <w:bottom w:w="0" w:type="dxa"/>
              <w:right w:w="108" w:type="dxa"/>
            </w:tcMar>
            <w:vAlign w:val="center"/>
          </w:tcPr>
          <w:p w14:paraId="71825442"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75,00</w:t>
            </w:r>
          </w:p>
        </w:tc>
        <w:tc>
          <w:tcPr>
            <w:tcW w:w="2686" w:type="dxa"/>
            <w:tcBorders>
              <w:left w:val="single" w:sz="4" w:space="0" w:color="000000"/>
            </w:tcBorders>
            <w:shd w:val="clear" w:color="auto" w:fill="BFBFBF"/>
            <w:tcMar>
              <w:top w:w="0" w:type="dxa"/>
              <w:left w:w="108" w:type="dxa"/>
              <w:bottom w:w="0" w:type="dxa"/>
              <w:right w:w="108" w:type="dxa"/>
            </w:tcMar>
            <w:vAlign w:val="center"/>
          </w:tcPr>
          <w:p w14:paraId="2FE76688"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3</w:t>
            </w:r>
          </w:p>
        </w:tc>
      </w:tr>
      <w:tr w:rsidR="002977FB" w14:paraId="723726E3" w14:textId="77777777">
        <w:trPr>
          <w:trHeight w:val="369"/>
          <w:jc w:val="center"/>
        </w:trPr>
        <w:tc>
          <w:tcPr>
            <w:tcW w:w="1183" w:type="dxa"/>
            <w:tcMar>
              <w:top w:w="0" w:type="dxa"/>
              <w:left w:w="108" w:type="dxa"/>
              <w:bottom w:w="0" w:type="dxa"/>
              <w:right w:w="108" w:type="dxa"/>
            </w:tcMar>
            <w:vAlign w:val="center"/>
          </w:tcPr>
          <w:p w14:paraId="70B71544"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75,01</w:t>
            </w:r>
          </w:p>
        </w:tc>
        <w:tc>
          <w:tcPr>
            <w:tcW w:w="1243" w:type="dxa"/>
            <w:tcBorders>
              <w:right w:val="single" w:sz="4" w:space="0" w:color="000000"/>
            </w:tcBorders>
            <w:tcMar>
              <w:top w:w="0" w:type="dxa"/>
              <w:left w:w="108" w:type="dxa"/>
              <w:bottom w:w="0" w:type="dxa"/>
              <w:right w:w="108" w:type="dxa"/>
            </w:tcMar>
            <w:vAlign w:val="center"/>
          </w:tcPr>
          <w:p w14:paraId="3AB7B9EE"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100,00</w:t>
            </w:r>
          </w:p>
        </w:tc>
        <w:tc>
          <w:tcPr>
            <w:tcW w:w="2686" w:type="dxa"/>
            <w:tcBorders>
              <w:left w:val="single" w:sz="4" w:space="0" w:color="000000"/>
            </w:tcBorders>
            <w:tcMar>
              <w:top w:w="0" w:type="dxa"/>
              <w:left w:w="108" w:type="dxa"/>
              <w:bottom w:w="0" w:type="dxa"/>
              <w:right w:w="108" w:type="dxa"/>
            </w:tcMar>
            <w:vAlign w:val="center"/>
          </w:tcPr>
          <w:p w14:paraId="3564AC6A"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4</w:t>
            </w:r>
          </w:p>
        </w:tc>
      </w:tr>
      <w:tr w:rsidR="002977FB" w14:paraId="0C978347" w14:textId="77777777">
        <w:trPr>
          <w:trHeight w:val="369"/>
          <w:jc w:val="center"/>
        </w:trPr>
        <w:tc>
          <w:tcPr>
            <w:tcW w:w="1183" w:type="dxa"/>
            <w:shd w:val="clear" w:color="auto" w:fill="BFBFBF"/>
            <w:tcMar>
              <w:top w:w="0" w:type="dxa"/>
              <w:left w:w="108" w:type="dxa"/>
              <w:bottom w:w="0" w:type="dxa"/>
              <w:right w:w="108" w:type="dxa"/>
            </w:tcMar>
            <w:vAlign w:val="center"/>
          </w:tcPr>
          <w:p w14:paraId="48DBBE23"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100,01</w:t>
            </w:r>
          </w:p>
        </w:tc>
        <w:tc>
          <w:tcPr>
            <w:tcW w:w="1243" w:type="dxa"/>
            <w:tcBorders>
              <w:right w:val="single" w:sz="4" w:space="0" w:color="000000"/>
            </w:tcBorders>
            <w:shd w:val="clear" w:color="auto" w:fill="BFBFBF"/>
            <w:tcMar>
              <w:top w:w="0" w:type="dxa"/>
              <w:left w:w="108" w:type="dxa"/>
              <w:bottom w:w="0" w:type="dxa"/>
              <w:right w:w="108" w:type="dxa"/>
            </w:tcMar>
            <w:vAlign w:val="center"/>
          </w:tcPr>
          <w:p w14:paraId="311A1F4E"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140,00</w:t>
            </w:r>
          </w:p>
        </w:tc>
        <w:tc>
          <w:tcPr>
            <w:tcW w:w="2686" w:type="dxa"/>
            <w:tcBorders>
              <w:left w:val="single" w:sz="4" w:space="0" w:color="000000"/>
            </w:tcBorders>
            <w:shd w:val="clear" w:color="auto" w:fill="BFBFBF"/>
            <w:tcMar>
              <w:top w:w="0" w:type="dxa"/>
              <w:left w:w="108" w:type="dxa"/>
              <w:bottom w:w="0" w:type="dxa"/>
              <w:right w:w="108" w:type="dxa"/>
            </w:tcMar>
            <w:vAlign w:val="center"/>
          </w:tcPr>
          <w:p w14:paraId="522FBDF7"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5</w:t>
            </w:r>
          </w:p>
        </w:tc>
      </w:tr>
      <w:tr w:rsidR="002977FB" w14:paraId="06C8E5A9" w14:textId="77777777">
        <w:trPr>
          <w:trHeight w:val="369"/>
          <w:jc w:val="center"/>
        </w:trPr>
        <w:tc>
          <w:tcPr>
            <w:tcW w:w="1183" w:type="dxa"/>
            <w:tcMar>
              <w:top w:w="0" w:type="dxa"/>
              <w:left w:w="108" w:type="dxa"/>
              <w:bottom w:w="0" w:type="dxa"/>
              <w:right w:w="108" w:type="dxa"/>
            </w:tcMar>
            <w:vAlign w:val="center"/>
          </w:tcPr>
          <w:p w14:paraId="2B93E667"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140,01</w:t>
            </w:r>
          </w:p>
        </w:tc>
        <w:tc>
          <w:tcPr>
            <w:tcW w:w="1243" w:type="dxa"/>
            <w:tcBorders>
              <w:right w:val="single" w:sz="4" w:space="0" w:color="000000"/>
            </w:tcBorders>
            <w:tcMar>
              <w:top w:w="0" w:type="dxa"/>
              <w:left w:w="108" w:type="dxa"/>
              <w:bottom w:w="0" w:type="dxa"/>
              <w:right w:w="108" w:type="dxa"/>
            </w:tcMar>
            <w:vAlign w:val="center"/>
          </w:tcPr>
          <w:p w14:paraId="63FACC51"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170,00</w:t>
            </w:r>
          </w:p>
        </w:tc>
        <w:tc>
          <w:tcPr>
            <w:tcW w:w="2686" w:type="dxa"/>
            <w:tcBorders>
              <w:left w:val="single" w:sz="4" w:space="0" w:color="000000"/>
            </w:tcBorders>
            <w:tcMar>
              <w:top w:w="0" w:type="dxa"/>
              <w:left w:w="108" w:type="dxa"/>
              <w:bottom w:w="0" w:type="dxa"/>
              <w:right w:w="108" w:type="dxa"/>
            </w:tcMar>
            <w:vAlign w:val="center"/>
          </w:tcPr>
          <w:p w14:paraId="277D2388"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6</w:t>
            </w:r>
          </w:p>
        </w:tc>
      </w:tr>
      <w:tr w:rsidR="002977FB" w14:paraId="79AC1723" w14:textId="77777777">
        <w:trPr>
          <w:trHeight w:val="369"/>
          <w:jc w:val="center"/>
        </w:trPr>
        <w:tc>
          <w:tcPr>
            <w:tcW w:w="1183" w:type="dxa"/>
            <w:shd w:val="clear" w:color="auto" w:fill="BFBFBF"/>
            <w:tcMar>
              <w:top w:w="0" w:type="dxa"/>
              <w:left w:w="108" w:type="dxa"/>
              <w:bottom w:w="0" w:type="dxa"/>
              <w:right w:w="108" w:type="dxa"/>
            </w:tcMar>
            <w:vAlign w:val="center"/>
          </w:tcPr>
          <w:p w14:paraId="641F4249"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170,01</w:t>
            </w:r>
          </w:p>
        </w:tc>
        <w:tc>
          <w:tcPr>
            <w:tcW w:w="1243" w:type="dxa"/>
            <w:tcBorders>
              <w:right w:val="single" w:sz="4" w:space="0" w:color="000000"/>
            </w:tcBorders>
            <w:shd w:val="clear" w:color="auto" w:fill="BFBFBF"/>
            <w:tcMar>
              <w:top w:w="0" w:type="dxa"/>
              <w:left w:w="108" w:type="dxa"/>
              <w:bottom w:w="0" w:type="dxa"/>
              <w:right w:w="108" w:type="dxa"/>
            </w:tcMar>
            <w:vAlign w:val="center"/>
          </w:tcPr>
          <w:p w14:paraId="1E3EC5B6"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200,00</w:t>
            </w:r>
          </w:p>
        </w:tc>
        <w:tc>
          <w:tcPr>
            <w:tcW w:w="2686" w:type="dxa"/>
            <w:tcBorders>
              <w:left w:val="single" w:sz="4" w:space="0" w:color="000000"/>
            </w:tcBorders>
            <w:shd w:val="clear" w:color="auto" w:fill="BFBFBF"/>
            <w:tcMar>
              <w:top w:w="0" w:type="dxa"/>
              <w:left w:w="108" w:type="dxa"/>
              <w:bottom w:w="0" w:type="dxa"/>
              <w:right w:w="108" w:type="dxa"/>
            </w:tcMar>
            <w:vAlign w:val="center"/>
          </w:tcPr>
          <w:p w14:paraId="69338CC3"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7</w:t>
            </w:r>
          </w:p>
        </w:tc>
      </w:tr>
      <w:tr w:rsidR="002977FB" w14:paraId="774D4BCA" w14:textId="77777777">
        <w:trPr>
          <w:trHeight w:val="369"/>
          <w:jc w:val="center"/>
        </w:trPr>
        <w:tc>
          <w:tcPr>
            <w:tcW w:w="1183" w:type="dxa"/>
            <w:tcMar>
              <w:top w:w="0" w:type="dxa"/>
              <w:left w:w="108" w:type="dxa"/>
              <w:bottom w:w="0" w:type="dxa"/>
              <w:right w:w="108" w:type="dxa"/>
            </w:tcMar>
            <w:vAlign w:val="center"/>
          </w:tcPr>
          <w:p w14:paraId="5A00950C"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200,01</w:t>
            </w:r>
          </w:p>
        </w:tc>
        <w:tc>
          <w:tcPr>
            <w:tcW w:w="1243" w:type="dxa"/>
            <w:tcBorders>
              <w:right w:val="single" w:sz="4" w:space="0" w:color="000000"/>
            </w:tcBorders>
            <w:tcMar>
              <w:top w:w="0" w:type="dxa"/>
              <w:left w:w="108" w:type="dxa"/>
              <w:bottom w:w="0" w:type="dxa"/>
              <w:right w:w="108" w:type="dxa"/>
            </w:tcMar>
            <w:vAlign w:val="center"/>
          </w:tcPr>
          <w:p w14:paraId="6362C699"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250,00</w:t>
            </w:r>
          </w:p>
        </w:tc>
        <w:tc>
          <w:tcPr>
            <w:tcW w:w="2686" w:type="dxa"/>
            <w:tcBorders>
              <w:left w:val="single" w:sz="4" w:space="0" w:color="000000"/>
            </w:tcBorders>
            <w:tcMar>
              <w:top w:w="0" w:type="dxa"/>
              <w:left w:w="108" w:type="dxa"/>
              <w:bottom w:w="0" w:type="dxa"/>
              <w:right w:w="108" w:type="dxa"/>
            </w:tcMar>
            <w:vAlign w:val="center"/>
          </w:tcPr>
          <w:p w14:paraId="5F69C23B"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8</w:t>
            </w:r>
          </w:p>
        </w:tc>
      </w:tr>
      <w:tr w:rsidR="002977FB" w14:paraId="6B2DCADC" w14:textId="77777777">
        <w:trPr>
          <w:trHeight w:val="369"/>
          <w:jc w:val="center"/>
        </w:trPr>
        <w:tc>
          <w:tcPr>
            <w:tcW w:w="1183" w:type="dxa"/>
            <w:shd w:val="clear" w:color="auto" w:fill="BFBFBF"/>
            <w:tcMar>
              <w:top w:w="0" w:type="dxa"/>
              <w:left w:w="108" w:type="dxa"/>
              <w:bottom w:w="0" w:type="dxa"/>
              <w:right w:w="108" w:type="dxa"/>
            </w:tcMar>
            <w:vAlign w:val="center"/>
          </w:tcPr>
          <w:p w14:paraId="6B6175F9"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de 250,01</w:t>
            </w:r>
          </w:p>
        </w:tc>
        <w:tc>
          <w:tcPr>
            <w:tcW w:w="1243" w:type="dxa"/>
            <w:tcBorders>
              <w:right w:val="single" w:sz="4" w:space="0" w:color="000000"/>
            </w:tcBorders>
            <w:shd w:val="clear" w:color="auto" w:fill="BFBFBF"/>
            <w:tcMar>
              <w:top w:w="0" w:type="dxa"/>
              <w:left w:w="108" w:type="dxa"/>
              <w:bottom w:w="0" w:type="dxa"/>
              <w:right w:w="108" w:type="dxa"/>
            </w:tcMar>
            <w:vAlign w:val="center"/>
          </w:tcPr>
          <w:p w14:paraId="14F7B963"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até 350,00</w:t>
            </w:r>
          </w:p>
        </w:tc>
        <w:tc>
          <w:tcPr>
            <w:tcW w:w="2686" w:type="dxa"/>
            <w:tcBorders>
              <w:left w:val="single" w:sz="4" w:space="0" w:color="000000"/>
            </w:tcBorders>
            <w:shd w:val="clear" w:color="auto" w:fill="BFBFBF"/>
            <w:tcMar>
              <w:top w:w="0" w:type="dxa"/>
              <w:left w:w="108" w:type="dxa"/>
              <w:bottom w:w="0" w:type="dxa"/>
              <w:right w:w="108" w:type="dxa"/>
            </w:tcMar>
            <w:vAlign w:val="center"/>
          </w:tcPr>
          <w:p w14:paraId="7E8FBC0A"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9</w:t>
            </w:r>
          </w:p>
        </w:tc>
      </w:tr>
      <w:tr w:rsidR="002977FB" w14:paraId="706307CB" w14:textId="77777777">
        <w:trPr>
          <w:trHeight w:val="369"/>
          <w:jc w:val="center"/>
        </w:trPr>
        <w:tc>
          <w:tcPr>
            <w:tcW w:w="2426" w:type="dxa"/>
            <w:gridSpan w:val="2"/>
            <w:tcBorders>
              <w:bottom w:val="single" w:sz="8" w:space="0" w:color="000000"/>
              <w:right w:val="single" w:sz="4" w:space="0" w:color="000000"/>
            </w:tcBorders>
            <w:tcMar>
              <w:top w:w="0" w:type="dxa"/>
              <w:left w:w="108" w:type="dxa"/>
              <w:bottom w:w="0" w:type="dxa"/>
              <w:right w:w="108" w:type="dxa"/>
            </w:tcMar>
            <w:vAlign w:val="center"/>
          </w:tcPr>
          <w:p w14:paraId="56CC443E"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acima de 350,01</w:t>
            </w:r>
          </w:p>
        </w:tc>
        <w:tc>
          <w:tcPr>
            <w:tcW w:w="2686" w:type="dxa"/>
            <w:tcBorders>
              <w:left w:val="single" w:sz="4" w:space="0" w:color="000000"/>
              <w:bottom w:val="single" w:sz="8" w:space="0" w:color="000000"/>
            </w:tcBorders>
            <w:tcMar>
              <w:top w:w="0" w:type="dxa"/>
              <w:left w:w="108" w:type="dxa"/>
              <w:bottom w:w="0" w:type="dxa"/>
              <w:right w:w="108" w:type="dxa"/>
            </w:tcMar>
            <w:vAlign w:val="center"/>
          </w:tcPr>
          <w:p w14:paraId="7562F522" w14:textId="77777777" w:rsidR="002977FB" w:rsidRDefault="00423F41">
            <w:pPr>
              <w:spacing w:after="0" w:line="240" w:lineRule="auto"/>
              <w:ind w:firstLine="35"/>
              <w:jc w:val="center"/>
              <w:rPr>
                <w:rFonts w:ascii="Times New Roman" w:eastAsia="Times New Roman" w:hAnsi="Times New Roman" w:cs="Times New Roman"/>
                <w:sz w:val="24"/>
                <w:szCs w:val="24"/>
              </w:rPr>
            </w:pPr>
            <w:r>
              <w:rPr>
                <w:rFonts w:ascii="Cambria" w:eastAsia="Cambria" w:hAnsi="Cambria" w:cs="Cambria"/>
                <w:color w:val="000000"/>
              </w:rPr>
              <w:t>10</w:t>
            </w:r>
          </w:p>
        </w:tc>
      </w:tr>
    </w:tbl>
    <w:p w14:paraId="222EED0F" w14:textId="77777777" w:rsidR="002977FB" w:rsidRDefault="002977FB">
      <w:pPr>
        <w:spacing w:after="200" w:line="240" w:lineRule="auto"/>
        <w:jc w:val="both"/>
        <w:rPr>
          <w:rFonts w:ascii="Cambria" w:eastAsia="Cambria" w:hAnsi="Cambria" w:cs="Cambria"/>
          <w:b/>
          <w:color w:val="000000"/>
        </w:rPr>
      </w:pPr>
    </w:p>
    <w:p w14:paraId="7D492B17"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8. Dos descontos</w:t>
      </w:r>
    </w:p>
    <w:p w14:paraId="7B071EF7"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Ficam f</w:t>
      </w:r>
      <w:r w:rsidR="00E639AF">
        <w:rPr>
          <w:rFonts w:ascii="Cambria" w:eastAsia="Cambria" w:hAnsi="Cambria" w:cs="Cambria"/>
          <w:color w:val="000000"/>
        </w:rPr>
        <w:t>ixados, para o exercício de 2023</w:t>
      </w:r>
      <w:r>
        <w:rPr>
          <w:rFonts w:ascii="Cambria" w:eastAsia="Cambria" w:hAnsi="Cambria" w:cs="Cambria"/>
          <w:color w:val="000000"/>
        </w:rPr>
        <w:t>, conforme estabelece a Lei Complementar 460/08 e alteraçõ</w:t>
      </w:r>
      <w:r w:rsidR="003058AC">
        <w:rPr>
          <w:rFonts w:ascii="Cambria" w:eastAsia="Cambria" w:hAnsi="Cambria" w:cs="Cambria"/>
          <w:color w:val="000000"/>
        </w:rPr>
        <w:t xml:space="preserve">es, regida pelos Decretos </w:t>
      </w:r>
      <w:r w:rsidR="00953B68" w:rsidRPr="00953B68">
        <w:rPr>
          <w:rFonts w:ascii="Cambria" w:eastAsia="Cambria" w:hAnsi="Cambria" w:cs="Cambria"/>
        </w:rPr>
        <w:t>32.311</w:t>
      </w:r>
      <w:r w:rsidR="00A062AC" w:rsidRPr="00953B68">
        <w:rPr>
          <w:rFonts w:ascii="Cambria" w:eastAsia="Cambria" w:hAnsi="Cambria" w:cs="Cambria"/>
        </w:rPr>
        <w:t xml:space="preserve"> </w:t>
      </w:r>
      <w:r w:rsidRPr="00953B68">
        <w:rPr>
          <w:rFonts w:ascii="Cambria" w:eastAsia="Cambria" w:hAnsi="Cambria" w:cs="Cambria"/>
        </w:rPr>
        <w:t xml:space="preserve">e </w:t>
      </w:r>
      <w:r w:rsidR="00953B68" w:rsidRPr="00953B68">
        <w:rPr>
          <w:rFonts w:ascii="Cambria" w:eastAsia="Cambria" w:hAnsi="Cambria" w:cs="Cambria"/>
        </w:rPr>
        <w:t>32.312</w:t>
      </w:r>
      <w:r w:rsidR="003058AC" w:rsidRPr="00953B68">
        <w:rPr>
          <w:rFonts w:ascii="Cambria" w:eastAsia="Cambria" w:hAnsi="Cambria" w:cs="Cambria"/>
          <w:b/>
        </w:rPr>
        <w:t xml:space="preserve"> </w:t>
      </w:r>
      <w:r w:rsidR="003058AC" w:rsidRPr="00D1792B">
        <w:rPr>
          <w:rFonts w:ascii="Cambria" w:eastAsia="Cambria" w:hAnsi="Cambria" w:cs="Cambria"/>
        </w:rPr>
        <w:t xml:space="preserve">de </w:t>
      </w:r>
      <w:r w:rsidR="00953B68">
        <w:rPr>
          <w:rFonts w:ascii="Cambria" w:eastAsia="Cambria" w:hAnsi="Cambria" w:cs="Cambria"/>
        </w:rPr>
        <w:t xml:space="preserve">20 </w:t>
      </w:r>
      <w:r w:rsidR="003058AC" w:rsidRPr="00D1792B">
        <w:rPr>
          <w:rFonts w:ascii="Cambria" w:eastAsia="Cambria" w:hAnsi="Cambria" w:cs="Cambria"/>
        </w:rPr>
        <w:t xml:space="preserve">dezembro </w:t>
      </w:r>
      <w:r w:rsidR="00E639AF">
        <w:rPr>
          <w:rFonts w:ascii="Cambria" w:eastAsia="Cambria" w:hAnsi="Cambria" w:cs="Cambria"/>
          <w:color w:val="000000"/>
        </w:rPr>
        <w:t>de 2022</w:t>
      </w:r>
      <w:r>
        <w:rPr>
          <w:rFonts w:ascii="Cambria" w:eastAsia="Cambria" w:hAnsi="Cambria" w:cs="Cambria"/>
          <w:color w:val="000000"/>
        </w:rPr>
        <w:t>, os seguintes descontos a serem concedidos aos contribuintes que optarem pelo pagamento em parcela única, desde que efetuado no prazo específico constante da notificação:</w:t>
      </w:r>
    </w:p>
    <w:p w14:paraId="5B3BF59F" w14:textId="77777777" w:rsidR="002977FB" w:rsidRDefault="00423F41">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 5% (cinco por cento) para o Imposto sobre a Propriedade Predial e Territorial Urbana IPTU e para Taxa de Coleta de Lixo, para a primeira opção de pagamento;</w:t>
      </w:r>
    </w:p>
    <w:p w14:paraId="264AB366" w14:textId="77777777" w:rsidR="002977FB" w:rsidRDefault="00423F41">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de 4% (quatro por cento) para o Imposto sobre a Propriedade Predial e Territorial Urbana IPTU e para Taxa de Coleta de Lixo, para a segunda opção de pagamento;</w:t>
      </w:r>
    </w:p>
    <w:p w14:paraId="1AD11358" w14:textId="77777777" w:rsidR="002977FB" w:rsidRDefault="00423F41">
      <w:pPr>
        <w:numPr>
          <w:ilvl w:val="0"/>
          <w:numId w:val="1"/>
        </w:numPr>
        <w:pBdr>
          <w:top w:val="nil"/>
          <w:left w:val="nil"/>
          <w:bottom w:val="nil"/>
          <w:right w:val="nil"/>
          <w:between w:val="nil"/>
        </w:pBdr>
        <w:spacing w:after="200" w:line="240" w:lineRule="auto"/>
        <w:jc w:val="both"/>
        <w:rPr>
          <w:rFonts w:ascii="Cambria" w:eastAsia="Cambria" w:hAnsi="Cambria" w:cs="Cambria"/>
          <w:color w:val="000000"/>
        </w:rPr>
      </w:pPr>
      <w:r>
        <w:rPr>
          <w:rFonts w:ascii="Cambria" w:eastAsia="Cambria" w:hAnsi="Cambria" w:cs="Cambria"/>
          <w:color w:val="000000"/>
        </w:rPr>
        <w:t>de 3% (três por cento) para o Imposto sobre a Propriedade Predial e Territorial Urbana IPTU e para Taxa de Coleta de Lixo, para a terceira opção de pagamento;</w:t>
      </w:r>
    </w:p>
    <w:p w14:paraId="61DFCECA" w14:textId="77777777" w:rsidR="002977FB" w:rsidRDefault="002977FB">
      <w:pPr>
        <w:spacing w:after="0" w:line="240" w:lineRule="auto"/>
        <w:rPr>
          <w:rFonts w:ascii="Times New Roman" w:eastAsia="Times New Roman" w:hAnsi="Times New Roman" w:cs="Times New Roman"/>
          <w:sz w:val="24"/>
          <w:szCs w:val="24"/>
        </w:rPr>
      </w:pPr>
    </w:p>
    <w:p w14:paraId="620D0195"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9. Dos locais de pagamento</w:t>
      </w:r>
    </w:p>
    <w:p w14:paraId="2802A80B" w14:textId="561AD451" w:rsidR="00855EE7" w:rsidRDefault="004A0B43" w:rsidP="00855EE7">
      <w:pPr>
        <w:spacing w:after="200" w:line="240" w:lineRule="auto"/>
        <w:ind w:firstLine="709"/>
        <w:jc w:val="both"/>
        <w:rPr>
          <w:rFonts w:ascii="Cambria" w:eastAsia="Cambria" w:hAnsi="Cambria" w:cs="Cambria"/>
          <w:color w:val="000000"/>
        </w:rPr>
      </w:pPr>
      <w:r>
        <w:rPr>
          <w:rFonts w:ascii="Cambria" w:eastAsia="Cambria" w:hAnsi="Cambria" w:cs="Cambria"/>
          <w:color w:val="000000"/>
        </w:rPr>
        <w:t>A partir de janeiro de 202</w:t>
      </w:r>
      <w:r w:rsidR="005536BD">
        <w:rPr>
          <w:rFonts w:ascii="Cambria" w:eastAsia="Cambria" w:hAnsi="Cambria" w:cs="Cambria"/>
          <w:color w:val="000000"/>
        </w:rPr>
        <w:t>3</w:t>
      </w:r>
      <w:r w:rsidR="00423F41">
        <w:rPr>
          <w:rFonts w:ascii="Cambria" w:eastAsia="Cambria" w:hAnsi="Cambria" w:cs="Cambria"/>
          <w:color w:val="000000"/>
        </w:rPr>
        <w:t>, os bancos que aderiram ao credenciamento para serem agentes arrecadadores dos impostos, taxas e demais recei</w:t>
      </w:r>
      <w:r w:rsidR="00855EE7">
        <w:rPr>
          <w:rFonts w:ascii="Cambria" w:eastAsia="Cambria" w:hAnsi="Cambria" w:cs="Cambria"/>
          <w:color w:val="000000"/>
        </w:rPr>
        <w:t>tas municipais são os seguintes:</w:t>
      </w:r>
    </w:p>
    <w:tbl>
      <w:tblPr>
        <w:tblpPr w:leftFromText="141" w:rightFromText="141" w:vertAnchor="text" w:horzAnchor="margin" w:tblpXSpec="center" w:tblpY="213"/>
        <w:tblW w:w="11760" w:type="dxa"/>
        <w:tblCellMar>
          <w:left w:w="70" w:type="dxa"/>
          <w:right w:w="70" w:type="dxa"/>
        </w:tblCellMar>
        <w:tblLook w:val="04A0" w:firstRow="1" w:lastRow="0" w:firstColumn="1" w:lastColumn="0" w:noHBand="0" w:noVBand="1"/>
      </w:tblPr>
      <w:tblGrid>
        <w:gridCol w:w="3256"/>
        <w:gridCol w:w="1134"/>
        <w:gridCol w:w="2126"/>
        <w:gridCol w:w="1417"/>
        <w:gridCol w:w="1701"/>
        <w:gridCol w:w="2126"/>
      </w:tblGrid>
      <w:tr w:rsidR="001A1EDE" w:rsidRPr="001A1EDE" w14:paraId="62CFF1BA" w14:textId="77777777" w:rsidTr="001A1EDE">
        <w:trPr>
          <w:trHeight w:val="912"/>
        </w:trPr>
        <w:tc>
          <w:tcPr>
            <w:tcW w:w="3256" w:type="dxa"/>
            <w:tcBorders>
              <w:top w:val="single" w:sz="4" w:space="0" w:color="000000"/>
              <w:left w:val="single" w:sz="4" w:space="0" w:color="000000"/>
              <w:bottom w:val="single" w:sz="4" w:space="0" w:color="000000"/>
              <w:right w:val="single" w:sz="4" w:space="0" w:color="000000"/>
            </w:tcBorders>
            <w:shd w:val="clear" w:color="BFBFBF" w:fill="BFBFBF"/>
            <w:noWrap/>
            <w:vAlign w:val="center"/>
            <w:hideMark/>
          </w:tcPr>
          <w:p w14:paraId="08F56B97"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Instituições Financeiras</w:t>
            </w:r>
          </w:p>
        </w:tc>
        <w:tc>
          <w:tcPr>
            <w:tcW w:w="1134" w:type="dxa"/>
            <w:tcBorders>
              <w:top w:val="single" w:sz="4" w:space="0" w:color="000000"/>
              <w:left w:val="nil"/>
              <w:bottom w:val="single" w:sz="4" w:space="0" w:color="000000"/>
              <w:right w:val="single" w:sz="4" w:space="0" w:color="000000"/>
            </w:tcBorders>
            <w:shd w:val="clear" w:color="BFBFBF" w:fill="BFBFBF"/>
            <w:noWrap/>
            <w:vAlign w:val="center"/>
            <w:hideMark/>
          </w:tcPr>
          <w:p w14:paraId="4A2D3F2B"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Guichê de Caixa*</w:t>
            </w:r>
          </w:p>
        </w:tc>
        <w:tc>
          <w:tcPr>
            <w:tcW w:w="2126" w:type="dxa"/>
            <w:tcBorders>
              <w:top w:val="single" w:sz="4" w:space="0" w:color="000000"/>
              <w:left w:val="nil"/>
              <w:bottom w:val="single" w:sz="4" w:space="0" w:color="000000"/>
              <w:right w:val="single" w:sz="4" w:space="0" w:color="000000"/>
            </w:tcBorders>
            <w:shd w:val="clear" w:color="BFBFBF" w:fill="BFBFBF"/>
            <w:vAlign w:val="center"/>
            <w:hideMark/>
          </w:tcPr>
          <w:p w14:paraId="44DD411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xml:space="preserve">Internet Banking (Computadores / </w:t>
            </w:r>
            <w:proofErr w:type="spellStart"/>
            <w:r w:rsidRPr="001A1EDE">
              <w:rPr>
                <w:rFonts w:eastAsia="Times New Roman"/>
                <w:color w:val="000000"/>
              </w:rPr>
              <w:t>APPs</w:t>
            </w:r>
            <w:proofErr w:type="spellEnd"/>
            <w:r w:rsidRPr="001A1EDE">
              <w:rPr>
                <w:rFonts w:eastAsia="Times New Roman"/>
                <w:color w:val="000000"/>
              </w:rPr>
              <w:t>)</w:t>
            </w:r>
          </w:p>
        </w:tc>
        <w:tc>
          <w:tcPr>
            <w:tcW w:w="1417" w:type="dxa"/>
            <w:tcBorders>
              <w:top w:val="single" w:sz="4" w:space="0" w:color="000000"/>
              <w:left w:val="nil"/>
              <w:bottom w:val="single" w:sz="4" w:space="0" w:color="000000"/>
              <w:right w:val="single" w:sz="4" w:space="0" w:color="000000"/>
            </w:tcBorders>
            <w:shd w:val="clear" w:color="BFBFBF" w:fill="BFBFBF"/>
            <w:vAlign w:val="center"/>
            <w:hideMark/>
          </w:tcPr>
          <w:p w14:paraId="7717F655"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Terminais de Auto Atendimento</w:t>
            </w:r>
          </w:p>
        </w:tc>
        <w:tc>
          <w:tcPr>
            <w:tcW w:w="1701" w:type="dxa"/>
            <w:tcBorders>
              <w:top w:val="single" w:sz="4" w:space="0" w:color="000000"/>
              <w:left w:val="nil"/>
              <w:bottom w:val="single" w:sz="4" w:space="0" w:color="000000"/>
              <w:right w:val="single" w:sz="4" w:space="0" w:color="000000"/>
            </w:tcBorders>
            <w:shd w:val="clear" w:color="BFBFBF" w:fill="BFBFBF"/>
            <w:vAlign w:val="center"/>
            <w:hideMark/>
          </w:tcPr>
          <w:p w14:paraId="6D52244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Correspondentes Bancários</w:t>
            </w:r>
          </w:p>
        </w:tc>
        <w:tc>
          <w:tcPr>
            <w:tcW w:w="2126" w:type="dxa"/>
            <w:tcBorders>
              <w:top w:val="single" w:sz="4" w:space="0" w:color="000000"/>
              <w:left w:val="nil"/>
              <w:bottom w:val="single" w:sz="4" w:space="0" w:color="000000"/>
              <w:right w:val="single" w:sz="4" w:space="0" w:color="000000"/>
            </w:tcBorders>
            <w:shd w:val="clear" w:color="BFBFBF" w:fill="BFBFBF"/>
            <w:vAlign w:val="center"/>
            <w:hideMark/>
          </w:tcPr>
          <w:p w14:paraId="0347568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Rede Lotérica*</w:t>
            </w:r>
          </w:p>
        </w:tc>
      </w:tr>
      <w:tr w:rsidR="001A1EDE" w:rsidRPr="001A1EDE" w14:paraId="708AB34B"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5E79679A"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CAIXA ECONÔMICA FEDERAL</w:t>
            </w:r>
          </w:p>
        </w:tc>
        <w:tc>
          <w:tcPr>
            <w:tcW w:w="1134" w:type="dxa"/>
            <w:tcBorders>
              <w:top w:val="nil"/>
              <w:left w:val="nil"/>
              <w:bottom w:val="single" w:sz="4" w:space="0" w:color="000000"/>
              <w:right w:val="single" w:sz="4" w:space="0" w:color="000000"/>
            </w:tcBorders>
            <w:shd w:val="clear" w:color="000000" w:fill="FFFF00"/>
            <w:noWrap/>
            <w:vAlign w:val="bottom"/>
            <w:hideMark/>
          </w:tcPr>
          <w:p w14:paraId="72887986"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000000" w:fill="FFFF00"/>
            <w:noWrap/>
            <w:vAlign w:val="bottom"/>
            <w:hideMark/>
          </w:tcPr>
          <w:p w14:paraId="78AB102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559869F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5326C814"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000000" w:fill="FFFF00"/>
            <w:noWrap/>
            <w:vAlign w:val="bottom"/>
            <w:hideMark/>
          </w:tcPr>
          <w:p w14:paraId="11D697D0"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r>
      <w:tr w:rsidR="001A1EDE" w:rsidRPr="001A1EDE" w14:paraId="2037BB39"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140D2EF2"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COOPERATIVO SICOOB S/A</w:t>
            </w:r>
          </w:p>
        </w:tc>
        <w:tc>
          <w:tcPr>
            <w:tcW w:w="1134" w:type="dxa"/>
            <w:tcBorders>
              <w:top w:val="nil"/>
              <w:left w:val="nil"/>
              <w:bottom w:val="single" w:sz="4" w:space="0" w:color="000000"/>
              <w:right w:val="single" w:sz="4" w:space="0" w:color="000000"/>
            </w:tcBorders>
            <w:shd w:val="clear" w:color="000000" w:fill="FFFF00"/>
            <w:noWrap/>
            <w:vAlign w:val="bottom"/>
            <w:hideMark/>
          </w:tcPr>
          <w:p w14:paraId="58CEC691"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000000" w:fill="FFFF00"/>
            <w:noWrap/>
            <w:vAlign w:val="bottom"/>
            <w:hideMark/>
          </w:tcPr>
          <w:p w14:paraId="0FA47B8D"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34247FA7"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774202A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000000" w:fill="FFFFFF"/>
            <w:noWrap/>
            <w:vAlign w:val="bottom"/>
            <w:hideMark/>
          </w:tcPr>
          <w:p w14:paraId="3A6DC552"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16231ED9"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15164AC8"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BRADESCO S.A.</w:t>
            </w:r>
          </w:p>
        </w:tc>
        <w:tc>
          <w:tcPr>
            <w:tcW w:w="1134" w:type="dxa"/>
            <w:tcBorders>
              <w:top w:val="nil"/>
              <w:left w:val="nil"/>
              <w:bottom w:val="single" w:sz="4" w:space="0" w:color="000000"/>
              <w:right w:val="single" w:sz="4" w:space="0" w:color="000000"/>
            </w:tcBorders>
            <w:shd w:val="clear" w:color="auto" w:fill="auto"/>
            <w:noWrap/>
            <w:vAlign w:val="bottom"/>
            <w:hideMark/>
          </w:tcPr>
          <w:p w14:paraId="133FA2A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0B501C97"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1B65959D"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232969D3"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auto" w:fill="auto"/>
            <w:noWrap/>
            <w:vAlign w:val="bottom"/>
            <w:hideMark/>
          </w:tcPr>
          <w:p w14:paraId="06CD8990"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64873A50"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5C6333E3"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DO BRASIL S.A.</w:t>
            </w:r>
          </w:p>
        </w:tc>
        <w:tc>
          <w:tcPr>
            <w:tcW w:w="1134" w:type="dxa"/>
            <w:tcBorders>
              <w:top w:val="nil"/>
              <w:left w:val="nil"/>
              <w:bottom w:val="single" w:sz="4" w:space="0" w:color="000000"/>
              <w:right w:val="single" w:sz="4" w:space="0" w:color="000000"/>
            </w:tcBorders>
            <w:shd w:val="clear" w:color="auto" w:fill="auto"/>
            <w:noWrap/>
            <w:vAlign w:val="bottom"/>
            <w:hideMark/>
          </w:tcPr>
          <w:p w14:paraId="64CA6920"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442FCC6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78C1C589"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3CC42077"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auto" w:fill="auto"/>
            <w:noWrap/>
            <w:vAlign w:val="bottom"/>
            <w:hideMark/>
          </w:tcPr>
          <w:p w14:paraId="4B1E4D45"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215E2399"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32D4FEA2"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MERCANTIL DO BRASIL S/A</w:t>
            </w:r>
          </w:p>
        </w:tc>
        <w:tc>
          <w:tcPr>
            <w:tcW w:w="1134" w:type="dxa"/>
            <w:tcBorders>
              <w:top w:val="nil"/>
              <w:left w:val="nil"/>
              <w:bottom w:val="single" w:sz="4" w:space="0" w:color="000000"/>
              <w:right w:val="single" w:sz="4" w:space="0" w:color="000000"/>
            </w:tcBorders>
            <w:shd w:val="clear" w:color="000000" w:fill="FFFFFF"/>
            <w:noWrap/>
            <w:vAlign w:val="bottom"/>
            <w:hideMark/>
          </w:tcPr>
          <w:p w14:paraId="30395216"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220EE98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31221AE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046F5D4D"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auto" w:fill="auto"/>
            <w:noWrap/>
            <w:vAlign w:val="bottom"/>
            <w:hideMark/>
          </w:tcPr>
          <w:p w14:paraId="3F5B01B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3FD94D7C"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3388750E"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SANTANDER S.A.</w:t>
            </w:r>
          </w:p>
        </w:tc>
        <w:tc>
          <w:tcPr>
            <w:tcW w:w="1134" w:type="dxa"/>
            <w:tcBorders>
              <w:top w:val="nil"/>
              <w:left w:val="nil"/>
              <w:bottom w:val="single" w:sz="4" w:space="0" w:color="000000"/>
              <w:right w:val="single" w:sz="4" w:space="0" w:color="000000"/>
            </w:tcBorders>
            <w:shd w:val="clear" w:color="auto" w:fill="auto"/>
            <w:noWrap/>
            <w:vAlign w:val="bottom"/>
            <w:hideMark/>
          </w:tcPr>
          <w:p w14:paraId="14FF7713"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2787D757"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215CEA5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000000" w:fill="FFFF00"/>
            <w:noWrap/>
            <w:vAlign w:val="bottom"/>
            <w:hideMark/>
          </w:tcPr>
          <w:p w14:paraId="0497CFC0"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2126" w:type="dxa"/>
            <w:tcBorders>
              <w:top w:val="nil"/>
              <w:left w:val="nil"/>
              <w:bottom w:val="single" w:sz="4" w:space="0" w:color="000000"/>
              <w:right w:val="single" w:sz="4" w:space="0" w:color="000000"/>
            </w:tcBorders>
            <w:shd w:val="clear" w:color="auto" w:fill="auto"/>
            <w:noWrap/>
            <w:vAlign w:val="bottom"/>
            <w:hideMark/>
          </w:tcPr>
          <w:p w14:paraId="4F09A3AF"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593CAFF2"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0E7E70E1"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ITAÚ UNIBANCO S.A.</w:t>
            </w:r>
          </w:p>
        </w:tc>
        <w:tc>
          <w:tcPr>
            <w:tcW w:w="1134" w:type="dxa"/>
            <w:tcBorders>
              <w:top w:val="nil"/>
              <w:left w:val="nil"/>
              <w:bottom w:val="single" w:sz="4" w:space="0" w:color="000000"/>
              <w:right w:val="single" w:sz="4" w:space="0" w:color="000000"/>
            </w:tcBorders>
            <w:shd w:val="clear" w:color="auto" w:fill="auto"/>
            <w:noWrap/>
            <w:vAlign w:val="bottom"/>
            <w:hideMark/>
          </w:tcPr>
          <w:p w14:paraId="23BD319F"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2C2557F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000000" w:fill="FFFF00"/>
            <w:noWrap/>
            <w:vAlign w:val="bottom"/>
            <w:hideMark/>
          </w:tcPr>
          <w:p w14:paraId="2FAD335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701" w:type="dxa"/>
            <w:tcBorders>
              <w:top w:val="nil"/>
              <w:left w:val="nil"/>
              <w:bottom w:val="single" w:sz="4" w:space="0" w:color="000000"/>
              <w:right w:val="single" w:sz="4" w:space="0" w:color="000000"/>
            </w:tcBorders>
            <w:shd w:val="clear" w:color="auto" w:fill="auto"/>
            <w:noWrap/>
            <w:vAlign w:val="bottom"/>
            <w:hideMark/>
          </w:tcPr>
          <w:p w14:paraId="2298684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4BE632E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548D1908" w14:textId="77777777" w:rsidTr="001A1EDE">
        <w:trPr>
          <w:trHeight w:val="300"/>
        </w:trPr>
        <w:tc>
          <w:tcPr>
            <w:tcW w:w="3256" w:type="dxa"/>
            <w:tcBorders>
              <w:top w:val="nil"/>
              <w:left w:val="single" w:sz="4" w:space="0" w:color="000000"/>
              <w:bottom w:val="single" w:sz="4" w:space="0" w:color="000000"/>
              <w:right w:val="single" w:sz="4" w:space="0" w:color="000000"/>
            </w:tcBorders>
            <w:shd w:val="clear" w:color="000000" w:fill="FFFF00"/>
            <w:noWrap/>
            <w:vAlign w:val="bottom"/>
            <w:hideMark/>
          </w:tcPr>
          <w:p w14:paraId="0836CECE" w14:textId="77777777" w:rsidR="001A1EDE" w:rsidRPr="001A1EDE" w:rsidRDefault="001A1EDE" w:rsidP="001A1EDE">
            <w:pPr>
              <w:spacing w:after="0" w:line="240" w:lineRule="auto"/>
              <w:rPr>
                <w:rFonts w:eastAsia="Times New Roman"/>
                <w:color w:val="000000"/>
              </w:rPr>
            </w:pPr>
            <w:r w:rsidRPr="001A1EDE">
              <w:rPr>
                <w:rFonts w:eastAsia="Times New Roman"/>
                <w:color w:val="000000"/>
              </w:rPr>
              <w:t>BANCO COOPERATIVO SICREDI S/A</w:t>
            </w:r>
          </w:p>
        </w:tc>
        <w:tc>
          <w:tcPr>
            <w:tcW w:w="1134" w:type="dxa"/>
            <w:tcBorders>
              <w:top w:val="nil"/>
              <w:left w:val="nil"/>
              <w:bottom w:val="single" w:sz="4" w:space="0" w:color="000000"/>
              <w:right w:val="single" w:sz="4" w:space="0" w:color="000000"/>
            </w:tcBorders>
            <w:shd w:val="clear" w:color="auto" w:fill="auto"/>
            <w:noWrap/>
            <w:vAlign w:val="bottom"/>
            <w:hideMark/>
          </w:tcPr>
          <w:p w14:paraId="39A859ED"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000000" w:fill="FFFF00"/>
            <w:noWrap/>
            <w:vAlign w:val="bottom"/>
            <w:hideMark/>
          </w:tcPr>
          <w:p w14:paraId="0A8EAF92"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SIM</w:t>
            </w:r>
          </w:p>
        </w:tc>
        <w:tc>
          <w:tcPr>
            <w:tcW w:w="1417" w:type="dxa"/>
            <w:tcBorders>
              <w:top w:val="nil"/>
              <w:left w:val="nil"/>
              <w:bottom w:val="single" w:sz="4" w:space="0" w:color="000000"/>
              <w:right w:val="single" w:sz="4" w:space="0" w:color="000000"/>
            </w:tcBorders>
            <w:shd w:val="clear" w:color="auto" w:fill="auto"/>
            <w:noWrap/>
            <w:vAlign w:val="bottom"/>
            <w:hideMark/>
          </w:tcPr>
          <w:p w14:paraId="1EF218AE"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1701" w:type="dxa"/>
            <w:tcBorders>
              <w:top w:val="nil"/>
              <w:left w:val="nil"/>
              <w:bottom w:val="single" w:sz="4" w:space="0" w:color="000000"/>
              <w:right w:val="single" w:sz="4" w:space="0" w:color="000000"/>
            </w:tcBorders>
            <w:shd w:val="clear" w:color="auto" w:fill="auto"/>
            <w:noWrap/>
            <w:vAlign w:val="bottom"/>
            <w:hideMark/>
          </w:tcPr>
          <w:p w14:paraId="48A99E3B"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2E28212A"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r w:rsidR="001A1EDE" w:rsidRPr="001A1EDE" w14:paraId="46B0A86A" w14:textId="77777777" w:rsidTr="001A1EDE">
        <w:trPr>
          <w:trHeight w:val="300"/>
        </w:trPr>
        <w:tc>
          <w:tcPr>
            <w:tcW w:w="3256" w:type="dxa"/>
            <w:tcBorders>
              <w:top w:val="nil"/>
              <w:left w:val="nil"/>
              <w:bottom w:val="nil"/>
              <w:right w:val="nil"/>
            </w:tcBorders>
            <w:shd w:val="clear" w:color="FFFFFF" w:fill="FFFFFF"/>
            <w:noWrap/>
            <w:vAlign w:val="bottom"/>
            <w:hideMark/>
          </w:tcPr>
          <w:p w14:paraId="44061A67" w14:textId="77777777" w:rsidR="001A1EDE" w:rsidRPr="001A1EDE" w:rsidRDefault="001A1EDE" w:rsidP="001A1EDE">
            <w:pPr>
              <w:spacing w:after="0" w:line="240" w:lineRule="auto"/>
              <w:rPr>
                <w:rFonts w:eastAsia="Times New Roman"/>
                <w:color w:val="000000"/>
              </w:rPr>
            </w:pPr>
            <w:r>
              <w:rPr>
                <w:rFonts w:eastAsia="Times New Roman"/>
                <w:color w:val="000000"/>
              </w:rPr>
              <w:t xml:space="preserve">* Pagamentos somente em </w:t>
            </w:r>
            <w:r w:rsidRPr="001A1EDE">
              <w:rPr>
                <w:rFonts w:eastAsia="Times New Roman"/>
                <w:color w:val="000000"/>
              </w:rPr>
              <w:t>dinheiro</w:t>
            </w:r>
            <w:r>
              <w:rPr>
                <w:rFonts w:eastAsia="Times New Roman"/>
                <w:color w:val="000000"/>
              </w:rPr>
              <w:t>.</w:t>
            </w:r>
          </w:p>
        </w:tc>
        <w:tc>
          <w:tcPr>
            <w:tcW w:w="1134" w:type="dxa"/>
            <w:tcBorders>
              <w:top w:val="nil"/>
              <w:left w:val="nil"/>
              <w:bottom w:val="nil"/>
              <w:right w:val="nil"/>
            </w:tcBorders>
            <w:shd w:val="clear" w:color="FFFFFF" w:fill="FFFFFF"/>
            <w:noWrap/>
            <w:vAlign w:val="bottom"/>
            <w:hideMark/>
          </w:tcPr>
          <w:p w14:paraId="392FBABC"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nil"/>
              <w:right w:val="nil"/>
            </w:tcBorders>
            <w:shd w:val="clear" w:color="FFFFFF" w:fill="FFFFFF"/>
            <w:noWrap/>
            <w:vAlign w:val="bottom"/>
            <w:hideMark/>
          </w:tcPr>
          <w:p w14:paraId="771B858D"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1417" w:type="dxa"/>
            <w:tcBorders>
              <w:top w:val="nil"/>
              <w:left w:val="nil"/>
              <w:bottom w:val="nil"/>
              <w:right w:val="nil"/>
            </w:tcBorders>
            <w:shd w:val="clear" w:color="FFFFFF" w:fill="FFFFFF"/>
            <w:noWrap/>
            <w:vAlign w:val="bottom"/>
            <w:hideMark/>
          </w:tcPr>
          <w:p w14:paraId="75DF6875"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1701" w:type="dxa"/>
            <w:tcBorders>
              <w:top w:val="nil"/>
              <w:left w:val="nil"/>
              <w:bottom w:val="nil"/>
              <w:right w:val="nil"/>
            </w:tcBorders>
            <w:shd w:val="clear" w:color="FFFFFF" w:fill="FFFFFF"/>
            <w:noWrap/>
            <w:vAlign w:val="bottom"/>
            <w:hideMark/>
          </w:tcPr>
          <w:p w14:paraId="16B7429F"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c>
          <w:tcPr>
            <w:tcW w:w="2126" w:type="dxa"/>
            <w:tcBorders>
              <w:top w:val="nil"/>
              <w:left w:val="nil"/>
              <w:bottom w:val="nil"/>
              <w:right w:val="nil"/>
            </w:tcBorders>
            <w:shd w:val="clear" w:color="FFFFFF" w:fill="FFFFFF"/>
            <w:noWrap/>
            <w:vAlign w:val="bottom"/>
            <w:hideMark/>
          </w:tcPr>
          <w:p w14:paraId="0F8399D1" w14:textId="77777777" w:rsidR="001A1EDE" w:rsidRPr="001A1EDE" w:rsidRDefault="001A1EDE" w:rsidP="001A1EDE">
            <w:pPr>
              <w:spacing w:after="0" w:line="240" w:lineRule="auto"/>
              <w:jc w:val="center"/>
              <w:rPr>
                <w:rFonts w:eastAsia="Times New Roman"/>
                <w:color w:val="000000"/>
              </w:rPr>
            </w:pPr>
            <w:r w:rsidRPr="001A1EDE">
              <w:rPr>
                <w:rFonts w:eastAsia="Times New Roman"/>
                <w:color w:val="000000"/>
              </w:rPr>
              <w:t> </w:t>
            </w:r>
          </w:p>
        </w:tc>
      </w:tr>
    </w:tbl>
    <w:p w14:paraId="0239BAE9" w14:textId="77777777" w:rsidR="002977FB" w:rsidRDefault="002977FB">
      <w:pPr>
        <w:spacing w:after="200" w:line="240" w:lineRule="auto"/>
        <w:jc w:val="both"/>
        <w:rPr>
          <w:rFonts w:ascii="Cambria" w:eastAsia="Cambria" w:hAnsi="Cambria" w:cs="Cambria"/>
          <w:color w:val="000000"/>
        </w:rPr>
      </w:pPr>
    </w:p>
    <w:p w14:paraId="7BC42C4C" w14:textId="5E501AE4" w:rsidR="002977FB" w:rsidRDefault="00423F41">
      <w:pPr>
        <w:spacing w:after="200" w:line="240" w:lineRule="auto"/>
        <w:ind w:firstLine="708"/>
        <w:jc w:val="both"/>
        <w:rPr>
          <w:rFonts w:ascii="Cambria" w:eastAsia="Cambria" w:hAnsi="Cambria" w:cs="Cambria"/>
          <w:color w:val="000000"/>
        </w:rPr>
      </w:pPr>
      <w:r>
        <w:rPr>
          <w:rFonts w:ascii="Cambria" w:eastAsia="Cambria" w:hAnsi="Cambria" w:cs="Cambria"/>
          <w:color w:val="000000"/>
        </w:rPr>
        <w:t>Os valores limites de pagamentos variam de acordo com a opção de canal de pagamento e instituição bancária em decorrência de questões de segurança e perfil dos clientes. </w:t>
      </w:r>
    </w:p>
    <w:p w14:paraId="42247325" w14:textId="0B6235E0" w:rsidR="005536BD" w:rsidRDefault="005536BD" w:rsidP="005536BD">
      <w:pPr>
        <w:spacing w:after="200" w:line="240" w:lineRule="auto"/>
        <w:jc w:val="both"/>
        <w:rPr>
          <w:rFonts w:ascii="Cambria" w:eastAsia="Cambria" w:hAnsi="Cambria" w:cs="Cambria"/>
          <w:color w:val="000000"/>
        </w:rPr>
      </w:pPr>
    </w:p>
    <w:p w14:paraId="7EE14A8A" w14:textId="7D2F34FE" w:rsidR="004D2213" w:rsidRPr="00677830" w:rsidRDefault="005536BD" w:rsidP="005536BD">
      <w:pPr>
        <w:spacing w:after="200" w:line="240" w:lineRule="auto"/>
        <w:jc w:val="both"/>
        <w:rPr>
          <w:rFonts w:ascii="Cambria" w:eastAsia="Cambria" w:hAnsi="Cambria" w:cs="Cambria"/>
          <w:b/>
          <w:color w:val="000000"/>
        </w:rPr>
      </w:pPr>
      <w:r>
        <w:rPr>
          <w:rFonts w:ascii="Cambria" w:eastAsia="Cambria" w:hAnsi="Cambria" w:cs="Cambria"/>
          <w:b/>
          <w:color w:val="000000"/>
        </w:rPr>
        <w:t xml:space="preserve">10. Pagamento </w:t>
      </w:r>
      <w:r w:rsidR="008B1DCC">
        <w:rPr>
          <w:rFonts w:ascii="Cambria" w:eastAsia="Cambria" w:hAnsi="Cambria" w:cs="Cambria"/>
          <w:b/>
          <w:color w:val="000000"/>
        </w:rPr>
        <w:t>em atraso – somente para pagamento parcelado</w:t>
      </w:r>
    </w:p>
    <w:p w14:paraId="37A043D4" w14:textId="663FBA68" w:rsidR="005536BD" w:rsidRDefault="008B1DCC" w:rsidP="005536BD">
      <w:pPr>
        <w:spacing w:after="200" w:line="240" w:lineRule="auto"/>
        <w:ind w:firstLine="709"/>
        <w:jc w:val="both"/>
        <w:rPr>
          <w:rFonts w:ascii="Cambria" w:eastAsia="Cambria" w:hAnsi="Cambria" w:cs="Cambria"/>
          <w:color w:val="000000"/>
        </w:rPr>
      </w:pPr>
      <w:r>
        <w:rPr>
          <w:rFonts w:ascii="Cambria" w:eastAsia="Cambria" w:hAnsi="Cambria" w:cs="Cambria"/>
          <w:color w:val="000000"/>
        </w:rPr>
        <w:t>Após o vencimento da guia do IPTU de 2023, não há mais como quita os débitos utilizando o documento, já que o banco não deve aceitar o pagamento, nem tampouco calcular o valor dos encargos legais devidos.</w:t>
      </w:r>
    </w:p>
    <w:p w14:paraId="35DF19AC" w14:textId="606B729A" w:rsidR="008B1DCC" w:rsidRDefault="008B1DCC" w:rsidP="005536BD">
      <w:pPr>
        <w:spacing w:after="200" w:line="240" w:lineRule="auto"/>
        <w:ind w:firstLine="709"/>
        <w:jc w:val="both"/>
        <w:rPr>
          <w:rFonts w:ascii="Cambria" w:eastAsia="Cambria" w:hAnsi="Cambria" w:cs="Cambria"/>
          <w:color w:val="000000"/>
        </w:rPr>
      </w:pPr>
      <w:r>
        <w:rPr>
          <w:rFonts w:ascii="Cambria" w:eastAsia="Cambria" w:hAnsi="Cambria" w:cs="Cambria"/>
          <w:color w:val="000000"/>
        </w:rPr>
        <w:t xml:space="preserve">Neste caso, será necessária a emissão da 2ª via da parcela do IPTU 2023, em: </w:t>
      </w:r>
      <w:hyperlink r:id="rId11" w:history="1">
        <w:r w:rsidRPr="00DC7160">
          <w:rPr>
            <w:rStyle w:val="Hyperlink"/>
            <w:rFonts w:ascii="Cambria" w:eastAsia="Cambria" w:hAnsi="Cambria" w:cs="Cambria"/>
          </w:rPr>
          <w:t>https://jundiai.sp.gov.br/servicos-online/segunda-via-da-parcela-do-iptu/</w:t>
        </w:r>
      </w:hyperlink>
      <w:r>
        <w:rPr>
          <w:rFonts w:ascii="Cambria" w:eastAsia="Cambria" w:hAnsi="Cambria" w:cs="Cambria"/>
          <w:color w:val="000000"/>
        </w:rPr>
        <w:t>, que trará o valor com os devidos acréscimos legais, sempre com o vencimento para o dia da emissão.</w:t>
      </w:r>
    </w:p>
    <w:p w14:paraId="151861AE" w14:textId="071229DA" w:rsidR="008B1DCC" w:rsidRDefault="008B1DCC" w:rsidP="008B1DCC">
      <w:pPr>
        <w:spacing w:after="200" w:line="240" w:lineRule="auto"/>
        <w:jc w:val="both"/>
        <w:rPr>
          <w:rFonts w:ascii="Cambria" w:eastAsia="Cambria" w:hAnsi="Cambria" w:cs="Cambria"/>
          <w:color w:val="000000"/>
        </w:rPr>
      </w:pPr>
    </w:p>
    <w:p w14:paraId="5EDC452B" w14:textId="5BB61A7D" w:rsidR="008B1DCC" w:rsidRDefault="008B1DCC" w:rsidP="008B1DCC">
      <w:pPr>
        <w:spacing w:after="200" w:line="240" w:lineRule="auto"/>
        <w:jc w:val="both"/>
        <w:rPr>
          <w:rFonts w:ascii="Cambria" w:eastAsia="Cambria" w:hAnsi="Cambria" w:cs="Cambria"/>
          <w:color w:val="000000"/>
        </w:rPr>
      </w:pPr>
      <w:r>
        <w:rPr>
          <w:rFonts w:ascii="Cambria" w:eastAsia="Cambria" w:hAnsi="Cambria" w:cs="Cambria"/>
          <w:color w:val="000000"/>
        </w:rPr>
        <w:t xml:space="preserve">ACRÉSCIMOS LEGAIS – Previsão art. </w:t>
      </w:r>
      <w:r w:rsidR="004D2213">
        <w:rPr>
          <w:rFonts w:ascii="Cambria" w:eastAsia="Cambria" w:hAnsi="Cambria" w:cs="Cambria"/>
          <w:color w:val="000000"/>
        </w:rPr>
        <w:t>9º LC 460/08 e alterações subsequentes.</w:t>
      </w:r>
    </w:p>
    <w:p w14:paraId="74231615" w14:textId="65AEB217" w:rsidR="004D2213" w:rsidRDefault="004D2213" w:rsidP="008B1DCC">
      <w:pPr>
        <w:spacing w:after="200" w:line="240" w:lineRule="auto"/>
        <w:jc w:val="both"/>
        <w:rPr>
          <w:rFonts w:ascii="Cambria" w:eastAsia="Cambria" w:hAnsi="Cambria" w:cs="Cambria"/>
          <w:color w:val="000000"/>
        </w:rPr>
      </w:pPr>
      <w:r>
        <w:rPr>
          <w:rFonts w:ascii="Cambria" w:eastAsia="Cambria" w:hAnsi="Cambria" w:cs="Cambria"/>
          <w:color w:val="000000"/>
        </w:rPr>
        <w:t>Multa (0,33% por dia até 20%)</w:t>
      </w:r>
    </w:p>
    <w:p w14:paraId="51B98746" w14:textId="6EB201F3" w:rsidR="005536BD" w:rsidRDefault="004D2213" w:rsidP="005536BD">
      <w:pPr>
        <w:spacing w:after="200" w:line="240" w:lineRule="auto"/>
        <w:jc w:val="both"/>
        <w:rPr>
          <w:rFonts w:ascii="Cambria" w:eastAsia="Cambria" w:hAnsi="Cambria" w:cs="Cambria"/>
          <w:color w:val="000000"/>
        </w:rPr>
      </w:pPr>
      <w:r>
        <w:rPr>
          <w:rFonts w:ascii="Cambria" w:eastAsia="Cambria" w:hAnsi="Cambria" w:cs="Cambria"/>
          <w:color w:val="000000"/>
        </w:rPr>
        <w:t>Mora (0,0333% por dia sem limite)</w:t>
      </w:r>
    </w:p>
    <w:p w14:paraId="2FE44D88" w14:textId="77777777" w:rsidR="00517CE5" w:rsidRDefault="00517CE5">
      <w:pPr>
        <w:spacing w:after="200" w:line="240" w:lineRule="auto"/>
        <w:ind w:firstLine="708"/>
        <w:jc w:val="both"/>
        <w:rPr>
          <w:rFonts w:ascii="Cambria" w:eastAsia="Cambria" w:hAnsi="Cambria" w:cs="Cambria"/>
          <w:color w:val="000000"/>
        </w:rPr>
      </w:pPr>
    </w:p>
    <w:p w14:paraId="647F36CA" w14:textId="0B4199B2"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w:t>
      </w:r>
      <w:r w:rsidR="00677830">
        <w:rPr>
          <w:rFonts w:ascii="Cambria" w:eastAsia="Cambria" w:hAnsi="Cambria" w:cs="Cambria"/>
          <w:b/>
          <w:color w:val="000000"/>
        </w:rPr>
        <w:t>1</w:t>
      </w:r>
      <w:r w:rsidR="00423F41">
        <w:rPr>
          <w:rFonts w:ascii="Cambria" w:eastAsia="Cambria" w:hAnsi="Cambria" w:cs="Cambria"/>
          <w:b/>
          <w:color w:val="000000"/>
        </w:rPr>
        <w:t>. Pagamento on-line (pelo site da Prefeitura) disponível para correntistas dos bancos Bradesco, Itaú e Santander</w:t>
      </w:r>
    </w:p>
    <w:p w14:paraId="7F65E228" w14:textId="77D397D8" w:rsidR="002977FB" w:rsidRDefault="00423F41" w:rsidP="00677830">
      <w:pPr>
        <w:spacing w:after="200" w:line="276" w:lineRule="auto"/>
        <w:ind w:firstLine="709"/>
        <w:jc w:val="both"/>
        <w:rPr>
          <w:rFonts w:ascii="Cambria" w:eastAsia="Cambria" w:hAnsi="Cambria" w:cs="Cambria"/>
          <w:color w:val="000000"/>
        </w:rPr>
      </w:pPr>
      <w:r>
        <w:rPr>
          <w:rFonts w:ascii="Cambria" w:eastAsia="Cambria" w:hAnsi="Cambria" w:cs="Cambria"/>
          <w:color w:val="000000"/>
        </w:rPr>
        <w:t xml:space="preserve">O pagamento on-line do Imposto Predial e Territorial Urbano (IPTU) pode ser feito diretamente no site: </w:t>
      </w:r>
      <w:r>
        <w:rPr>
          <w:rFonts w:ascii="Cambria" w:eastAsia="Cambria" w:hAnsi="Cambria" w:cs="Cambria"/>
          <w:i/>
          <w:color w:val="000000"/>
        </w:rPr>
        <w:t>www.jundiai.sp.gov.br</w:t>
      </w:r>
      <w:r>
        <w:rPr>
          <w:rFonts w:ascii="Cambria" w:eastAsia="Cambria" w:hAnsi="Cambria" w:cs="Cambria"/>
          <w:color w:val="000000"/>
        </w:rPr>
        <w:t xml:space="preserve"> &lt;SERVIÇOS AO CIDADÃO&gt; &lt;MEU IPTU&gt;</w:t>
      </w:r>
    </w:p>
    <w:p w14:paraId="63BA924B" w14:textId="6E8A75D8" w:rsidR="00677830" w:rsidRPr="00677830" w:rsidRDefault="00677830" w:rsidP="00677830">
      <w:pPr>
        <w:spacing w:after="200" w:line="276" w:lineRule="auto"/>
        <w:jc w:val="both"/>
        <w:rPr>
          <w:rFonts w:ascii="Cambria" w:eastAsia="Cambria" w:hAnsi="Cambria" w:cs="Cambria"/>
          <w:color w:val="000000"/>
        </w:rPr>
      </w:pPr>
      <w:r>
        <w:rPr>
          <w:rFonts w:ascii="Cambria" w:eastAsia="Cambria" w:hAnsi="Cambria" w:cs="Cambria"/>
          <w:color w:val="000000"/>
        </w:rPr>
        <w:t xml:space="preserve">Link: </w:t>
      </w:r>
      <w:hyperlink r:id="rId12" w:history="1">
        <w:r w:rsidRPr="00DC7160">
          <w:rPr>
            <w:rStyle w:val="Hyperlink"/>
            <w:rFonts w:ascii="Cambria" w:eastAsia="Cambria" w:hAnsi="Cambria" w:cs="Cambria"/>
          </w:rPr>
          <w:t>https://jundiai.sp.gov.br/servicos-online/segunda-via-da-parcela-do-iptu/</w:t>
        </w:r>
      </w:hyperlink>
    </w:p>
    <w:p w14:paraId="02A225A0" w14:textId="77777777" w:rsidR="002977FB" w:rsidRDefault="00423F41">
      <w:pPr>
        <w:spacing w:after="200" w:line="240" w:lineRule="auto"/>
        <w:ind w:firstLine="709"/>
        <w:jc w:val="both"/>
        <w:rPr>
          <w:rFonts w:ascii="Cambria" w:eastAsia="Cambria" w:hAnsi="Cambria" w:cs="Cambria"/>
          <w:color w:val="000000"/>
        </w:rPr>
      </w:pPr>
      <w:r>
        <w:rPr>
          <w:rFonts w:ascii="Cambria" w:eastAsia="Cambria" w:hAnsi="Cambria" w:cs="Cambria"/>
          <w:color w:val="000000"/>
        </w:rPr>
        <w:t>O pagamento “Site a Site” propicia praticidade e segurança ao contribuinte, eliminando a necessidade digitação do código de barras para finalizar o pagamento.</w:t>
      </w:r>
    </w:p>
    <w:p w14:paraId="218A1FCD" w14:textId="77777777" w:rsidR="002977FB" w:rsidRDefault="002977FB">
      <w:pPr>
        <w:spacing w:after="0" w:line="240" w:lineRule="auto"/>
        <w:rPr>
          <w:rFonts w:ascii="Times New Roman" w:eastAsia="Times New Roman" w:hAnsi="Times New Roman" w:cs="Times New Roman"/>
          <w:sz w:val="24"/>
          <w:szCs w:val="24"/>
        </w:rPr>
      </w:pPr>
    </w:p>
    <w:p w14:paraId="4AF2C98D" w14:textId="77777777" w:rsidR="002977FB" w:rsidRDefault="002977FB">
      <w:pPr>
        <w:spacing w:after="200" w:line="240" w:lineRule="auto"/>
        <w:jc w:val="both"/>
        <w:rPr>
          <w:rFonts w:ascii="Cambria" w:eastAsia="Cambria" w:hAnsi="Cambria" w:cs="Cambria"/>
          <w:b/>
          <w:color w:val="000000"/>
        </w:rPr>
      </w:pPr>
    </w:p>
    <w:p w14:paraId="5F2AFB0A" w14:textId="646E5584"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w:t>
      </w:r>
      <w:r w:rsidR="00677830">
        <w:rPr>
          <w:rFonts w:ascii="Cambria" w:eastAsia="Cambria" w:hAnsi="Cambria" w:cs="Cambria"/>
          <w:b/>
          <w:color w:val="000000"/>
        </w:rPr>
        <w:t>2</w:t>
      </w:r>
      <w:r w:rsidR="00423F41">
        <w:rPr>
          <w:rFonts w:ascii="Cambria" w:eastAsia="Cambria" w:hAnsi="Cambria" w:cs="Cambria"/>
          <w:b/>
          <w:color w:val="000000"/>
        </w:rPr>
        <w:t>. Da destinação da arrecadação do IPTU</w:t>
      </w:r>
    </w:p>
    <w:p w14:paraId="0EEDA027"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Fo</w:t>
      </w:r>
      <w:r w:rsidR="004A0B43">
        <w:rPr>
          <w:rFonts w:ascii="Cambria" w:eastAsia="Cambria" w:hAnsi="Cambria" w:cs="Cambria"/>
          <w:color w:val="000000"/>
        </w:rPr>
        <w:t>ram enviados em torno de 181.142</w:t>
      </w:r>
      <w:r>
        <w:rPr>
          <w:rFonts w:ascii="Cambria" w:eastAsia="Cambria" w:hAnsi="Cambria" w:cs="Cambria"/>
          <w:color w:val="000000"/>
        </w:rPr>
        <w:t xml:space="preserve"> carnês. A arrecadação estimada na Lei </w:t>
      </w:r>
      <w:r w:rsidR="00E639AF">
        <w:rPr>
          <w:rFonts w:ascii="Cambria" w:eastAsia="Cambria" w:hAnsi="Cambria" w:cs="Cambria"/>
          <w:color w:val="000000"/>
        </w:rPr>
        <w:t>Orçamentária Anual – LOA de 2023</w:t>
      </w:r>
      <w:r>
        <w:rPr>
          <w:rFonts w:ascii="Cambria" w:eastAsia="Cambria" w:hAnsi="Cambria" w:cs="Cambria"/>
          <w:color w:val="000000"/>
        </w:rPr>
        <w:t xml:space="preserve"> – com o Imposto Pr</w:t>
      </w:r>
      <w:r w:rsidR="001B36D5">
        <w:rPr>
          <w:rFonts w:ascii="Cambria" w:eastAsia="Cambria" w:hAnsi="Cambria" w:cs="Cambria"/>
          <w:color w:val="000000"/>
        </w:rPr>
        <w:t>edial e Territorial Urbano é R$ 277.088.500,00</w:t>
      </w:r>
      <w:r w:rsidRPr="00DC5705">
        <w:rPr>
          <w:rFonts w:ascii="Cambria" w:eastAsia="Cambria" w:hAnsi="Cambria" w:cs="Cambria"/>
        </w:rPr>
        <w:t xml:space="preserve"> </w:t>
      </w:r>
      <w:r>
        <w:rPr>
          <w:rFonts w:ascii="Cambria" w:eastAsia="Cambria" w:hAnsi="Cambria" w:cs="Cambria"/>
          <w:color w:val="000000"/>
        </w:rPr>
        <w:t xml:space="preserve">(Duzentos e </w:t>
      </w:r>
      <w:r w:rsidR="001B36D5">
        <w:rPr>
          <w:rFonts w:ascii="Cambria" w:eastAsia="Cambria" w:hAnsi="Cambria" w:cs="Cambria"/>
          <w:color w:val="000000"/>
        </w:rPr>
        <w:t>setenta e sete milhões, oitenta e oito mil e quinhentos reais</w:t>
      </w:r>
      <w:r>
        <w:rPr>
          <w:rFonts w:ascii="Cambria" w:eastAsia="Cambria" w:hAnsi="Cambria" w:cs="Cambria"/>
          <w:color w:val="000000"/>
        </w:rPr>
        <w:t>).</w:t>
      </w:r>
    </w:p>
    <w:p w14:paraId="4D25B2C3" w14:textId="220A3132"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Com o pagamento do seu IPTU em dia, você ajuda a construir uma cidade melhor. Do valor total arrecadado com o IPTU, no mínimo 25% serão destinados para a Educação e 15%</w:t>
      </w:r>
      <w:r w:rsidR="00677830">
        <w:rPr>
          <w:rFonts w:ascii="Cambria" w:eastAsia="Cambria" w:hAnsi="Cambria" w:cs="Cambria"/>
          <w:color w:val="000000"/>
        </w:rPr>
        <w:t xml:space="preserve"> no mínimo</w:t>
      </w:r>
      <w:r>
        <w:rPr>
          <w:rFonts w:ascii="Cambria" w:eastAsia="Cambria" w:hAnsi="Cambria" w:cs="Cambria"/>
          <w:color w:val="000000"/>
        </w:rPr>
        <w:t xml:space="preserve"> irão para a Saúde. O restante do valor arrecadado é utilizado para financiar os serviços de manutenção da cidade.</w:t>
      </w:r>
    </w:p>
    <w:p w14:paraId="3A47BE54"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 xml:space="preserve">Acompanhe a arrecadação e os gastos do Município no Portal da Transparência: </w:t>
      </w:r>
      <w:r>
        <w:rPr>
          <w:rFonts w:ascii="Cambria" w:eastAsia="Cambria" w:hAnsi="Cambria" w:cs="Cambria"/>
          <w:i/>
        </w:rPr>
        <w:t>//transparencia.jundiai.sp.gov.br/</w:t>
      </w:r>
    </w:p>
    <w:p w14:paraId="6D5D6E09" w14:textId="77777777" w:rsidR="002977FB" w:rsidRDefault="002977FB">
      <w:pPr>
        <w:spacing w:after="240" w:line="240" w:lineRule="auto"/>
        <w:rPr>
          <w:rFonts w:ascii="Times New Roman" w:eastAsia="Times New Roman" w:hAnsi="Times New Roman" w:cs="Times New Roman"/>
          <w:sz w:val="24"/>
          <w:szCs w:val="24"/>
        </w:rPr>
      </w:pPr>
    </w:p>
    <w:p w14:paraId="34534116" w14:textId="77777777" w:rsidR="002977FB" w:rsidRDefault="002977FB">
      <w:pPr>
        <w:spacing w:after="200" w:line="240" w:lineRule="auto"/>
        <w:jc w:val="both"/>
        <w:rPr>
          <w:rFonts w:ascii="Cambria" w:eastAsia="Cambria" w:hAnsi="Cambria" w:cs="Cambria"/>
          <w:b/>
          <w:color w:val="000000"/>
        </w:rPr>
      </w:pPr>
    </w:p>
    <w:p w14:paraId="78F4BF88" w14:textId="41057EB5"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lastRenderedPageBreak/>
        <w:t>1</w:t>
      </w:r>
      <w:r w:rsidR="00677830">
        <w:rPr>
          <w:rFonts w:ascii="Cambria" w:eastAsia="Cambria" w:hAnsi="Cambria" w:cs="Cambria"/>
          <w:b/>
          <w:color w:val="000000"/>
        </w:rPr>
        <w:t>3</w:t>
      </w:r>
      <w:r w:rsidR="00423F41">
        <w:rPr>
          <w:rFonts w:ascii="Cambria" w:eastAsia="Cambria" w:hAnsi="Cambria" w:cs="Cambria"/>
          <w:b/>
          <w:color w:val="000000"/>
        </w:rPr>
        <w:t>. Da Taxa de Coleta de Lixo</w:t>
      </w:r>
    </w:p>
    <w:p w14:paraId="6064BCBD" w14:textId="7AFCF9A6" w:rsidR="002977FB" w:rsidRDefault="00677830">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A Taxa de Coleta de Lixo poderá ser lançada, isoladamente ou em conjunto com o IPTU, constando dos avisos-recibos os elementos distintivos de cada tributo e os respectivos valores.</w:t>
      </w:r>
    </w:p>
    <w:p w14:paraId="5092E123" w14:textId="77777777" w:rsidR="00517CE5" w:rsidRDefault="00517CE5">
      <w:pPr>
        <w:spacing w:after="200" w:line="240" w:lineRule="auto"/>
        <w:jc w:val="both"/>
        <w:rPr>
          <w:rFonts w:ascii="Cambria" w:eastAsia="Cambria" w:hAnsi="Cambria" w:cs="Cambria"/>
          <w:b/>
          <w:color w:val="000000"/>
        </w:rPr>
      </w:pPr>
    </w:p>
    <w:p w14:paraId="2DD3E0CB" w14:textId="027C9859"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w:t>
      </w:r>
      <w:r w:rsidR="00677830">
        <w:rPr>
          <w:rFonts w:ascii="Cambria" w:eastAsia="Cambria" w:hAnsi="Cambria" w:cs="Cambria"/>
          <w:b/>
          <w:color w:val="000000"/>
        </w:rPr>
        <w:t>4</w:t>
      </w:r>
      <w:r w:rsidR="00423F41">
        <w:rPr>
          <w:rFonts w:ascii="Cambria" w:eastAsia="Cambria" w:hAnsi="Cambria" w:cs="Cambria"/>
          <w:b/>
          <w:color w:val="000000"/>
        </w:rPr>
        <w:t>. Da base de cálculo para a Taxa de Coleta de Lixo</w:t>
      </w:r>
    </w:p>
    <w:p w14:paraId="3463A6DC"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222222"/>
        </w:rPr>
        <w:t>A base de cálculo da Taxa de Coleta de Lixo é o custo estimado do serviço para o exercício, apurado com base nos montantes despendidos no exercício anterior com a mão de obra utilizada na execução dos serviços, dos encargos sociais, combustíveis e lubrificantes.</w:t>
      </w:r>
    </w:p>
    <w:p w14:paraId="6E051AF7"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222222"/>
        </w:rPr>
        <w:t>C</w:t>
      </w:r>
      <w:r w:rsidR="00DC5705">
        <w:rPr>
          <w:rFonts w:ascii="Cambria" w:eastAsia="Cambria" w:hAnsi="Cambria" w:cs="Cambria"/>
          <w:color w:val="222222"/>
        </w:rPr>
        <w:t xml:space="preserve">om a edição do Decreto n° </w:t>
      </w:r>
      <w:r w:rsidR="00953B68" w:rsidRPr="00953B68">
        <w:rPr>
          <w:rFonts w:ascii="Cambria" w:eastAsia="Cambria" w:hAnsi="Cambria" w:cs="Cambria"/>
        </w:rPr>
        <w:t>32.311</w:t>
      </w:r>
      <w:r w:rsidR="00D1792B" w:rsidRPr="00953B68">
        <w:rPr>
          <w:rFonts w:ascii="Cambria" w:eastAsia="Cambria" w:hAnsi="Cambria" w:cs="Cambria"/>
        </w:rPr>
        <w:t xml:space="preserve"> </w:t>
      </w:r>
      <w:r w:rsidR="00953B68">
        <w:rPr>
          <w:rFonts w:ascii="Cambria" w:eastAsia="Cambria" w:hAnsi="Cambria" w:cs="Cambria"/>
        </w:rPr>
        <w:t>de 20</w:t>
      </w:r>
      <w:r w:rsidRPr="00D1792B">
        <w:rPr>
          <w:rFonts w:ascii="Cambria" w:eastAsia="Cambria" w:hAnsi="Cambria" w:cs="Cambria"/>
        </w:rPr>
        <w:t xml:space="preserve"> de </w:t>
      </w:r>
      <w:r w:rsidR="00E639AF">
        <w:rPr>
          <w:rFonts w:ascii="Cambria" w:eastAsia="Cambria" w:hAnsi="Cambria" w:cs="Cambria"/>
        </w:rPr>
        <w:t>dezembro de 2022</w:t>
      </w:r>
      <w:r>
        <w:rPr>
          <w:rFonts w:ascii="Cambria" w:eastAsia="Cambria" w:hAnsi="Cambria" w:cs="Cambria"/>
          <w:color w:val="222222"/>
        </w:rPr>
        <w:t xml:space="preserve">, apurou-se que o gasto parcial dos serviços de coleta e destinação de lixo urbano foi de </w:t>
      </w:r>
      <w:r w:rsidRPr="00DD3107">
        <w:rPr>
          <w:rFonts w:ascii="Cambria" w:eastAsia="Cambria" w:hAnsi="Cambria" w:cs="Cambria"/>
        </w:rPr>
        <w:t xml:space="preserve">R$ </w:t>
      </w:r>
      <w:r w:rsidR="007522B7">
        <w:rPr>
          <w:rFonts w:ascii="Cambria" w:eastAsia="Cambria" w:hAnsi="Cambria" w:cs="Cambria"/>
        </w:rPr>
        <w:t>73.860.488,39</w:t>
      </w:r>
      <w:r w:rsidR="00E639AF" w:rsidRPr="00E639AF">
        <w:rPr>
          <w:rFonts w:ascii="Cambria" w:eastAsia="Cambria" w:hAnsi="Cambria" w:cs="Cambria"/>
          <w:color w:val="FF0000"/>
        </w:rPr>
        <w:t xml:space="preserve"> </w:t>
      </w:r>
      <w:r w:rsidRPr="00DD3107">
        <w:rPr>
          <w:rFonts w:ascii="Cambria" w:eastAsia="Cambria" w:hAnsi="Cambria" w:cs="Cambria"/>
        </w:rPr>
        <w:t>(</w:t>
      </w:r>
      <w:r w:rsidR="007522B7">
        <w:rPr>
          <w:rFonts w:ascii="Cambria" w:eastAsia="Cambria" w:hAnsi="Cambria" w:cs="Cambria"/>
        </w:rPr>
        <w:t>Setenta e três milhões, oitocentos e sessenta mil, quatrocentos e oitenta e oito reais e trinta e nove centavos</w:t>
      </w:r>
      <w:r w:rsidR="00DD3107" w:rsidRPr="00DD3107">
        <w:rPr>
          <w:rFonts w:ascii="Cambria" w:eastAsia="Cambria" w:hAnsi="Cambria" w:cs="Cambria"/>
        </w:rPr>
        <w:t>)</w:t>
      </w:r>
      <w:r w:rsidRPr="00DD3107">
        <w:rPr>
          <w:rFonts w:ascii="Cambria" w:eastAsia="Cambria" w:hAnsi="Cambria" w:cs="Cambria"/>
        </w:rPr>
        <w:t xml:space="preserve">, </w:t>
      </w:r>
      <w:r>
        <w:rPr>
          <w:rFonts w:ascii="Cambria" w:eastAsia="Cambria" w:hAnsi="Cambria" w:cs="Cambria"/>
          <w:color w:val="222222"/>
        </w:rPr>
        <w:t>cujo valor foi rateado proporcionalmente às áreas construídas dos bens imóveis em locais onde há atuação da coleta de lixo domiciliar.</w:t>
      </w:r>
    </w:p>
    <w:p w14:paraId="54E855CA"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222222"/>
        </w:rPr>
        <w:t xml:space="preserve">Estão excluídos do rateio </w:t>
      </w:r>
      <w:r>
        <w:rPr>
          <w:rFonts w:ascii="Cambria" w:eastAsia="Cambria" w:hAnsi="Cambria" w:cs="Cambria"/>
          <w:color w:val="000000"/>
        </w:rPr>
        <w:t>a varrição de vias públicas, limpezas locais e feiras livres, serviços de caráter intermitente, limpeza de boca de lobo, limpeza, manutenção do transbordo, serviços de triagem, serviços especiais de limpeza, serviços extraordinários e os custos de manutenção do Aterro Sanitário desativado, localizado em Várzea Paulista.</w:t>
      </w:r>
    </w:p>
    <w:p w14:paraId="702FFB20" w14:textId="77777777" w:rsidR="002977FB" w:rsidRDefault="002977FB">
      <w:pPr>
        <w:spacing w:after="0" w:line="240" w:lineRule="auto"/>
        <w:rPr>
          <w:rFonts w:ascii="Times New Roman" w:eastAsia="Times New Roman" w:hAnsi="Times New Roman" w:cs="Times New Roman"/>
          <w:sz w:val="24"/>
          <w:szCs w:val="24"/>
        </w:rPr>
      </w:pPr>
    </w:p>
    <w:p w14:paraId="7BC1E52B" w14:textId="77777777" w:rsidR="002977FB" w:rsidRDefault="002977FB">
      <w:pPr>
        <w:spacing w:after="200" w:line="240" w:lineRule="auto"/>
        <w:jc w:val="both"/>
        <w:rPr>
          <w:rFonts w:ascii="Cambria" w:eastAsia="Cambria" w:hAnsi="Cambria" w:cs="Cambria"/>
          <w:b/>
          <w:color w:val="000000"/>
        </w:rPr>
      </w:pPr>
    </w:p>
    <w:p w14:paraId="5881AE36" w14:textId="26D4CCF7"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w:t>
      </w:r>
      <w:r w:rsidR="00677830">
        <w:rPr>
          <w:rFonts w:ascii="Cambria" w:eastAsia="Cambria" w:hAnsi="Cambria" w:cs="Cambria"/>
          <w:b/>
          <w:color w:val="000000"/>
        </w:rPr>
        <w:t>5</w:t>
      </w:r>
      <w:r w:rsidR="00423F41">
        <w:rPr>
          <w:rFonts w:ascii="Cambria" w:eastAsia="Cambria" w:hAnsi="Cambria" w:cs="Cambria"/>
          <w:b/>
          <w:color w:val="000000"/>
        </w:rPr>
        <w:t>. Das formas de pagamento/descontos</w:t>
      </w:r>
    </w:p>
    <w:p w14:paraId="020536BF" w14:textId="77777777"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222222"/>
        </w:rPr>
        <w:t>Os critérios de pagamentos/descontos aplicados ao IPTU são os mesmos adotados para a Taxa de Coleta de Lixo, enumerados nos itens 08 e 09.</w:t>
      </w:r>
    </w:p>
    <w:p w14:paraId="1D11EACC" w14:textId="77777777" w:rsidR="002977FB" w:rsidRDefault="002977FB">
      <w:pPr>
        <w:spacing w:after="0" w:line="240" w:lineRule="auto"/>
        <w:rPr>
          <w:rFonts w:ascii="Times New Roman" w:eastAsia="Times New Roman" w:hAnsi="Times New Roman" w:cs="Times New Roman"/>
          <w:sz w:val="24"/>
          <w:szCs w:val="24"/>
        </w:rPr>
      </w:pPr>
    </w:p>
    <w:p w14:paraId="53694A6F" w14:textId="77777777" w:rsidR="002977FB" w:rsidRDefault="002977FB">
      <w:pPr>
        <w:spacing w:after="200" w:line="240" w:lineRule="auto"/>
        <w:jc w:val="both"/>
        <w:rPr>
          <w:rFonts w:ascii="Cambria" w:eastAsia="Cambria" w:hAnsi="Cambria" w:cs="Cambria"/>
          <w:b/>
          <w:color w:val="000000"/>
        </w:rPr>
      </w:pPr>
    </w:p>
    <w:p w14:paraId="09596942" w14:textId="2B73B419" w:rsidR="002977FB" w:rsidRDefault="00C07AB5">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1</w:t>
      </w:r>
      <w:r w:rsidR="00677830">
        <w:rPr>
          <w:rFonts w:ascii="Cambria" w:eastAsia="Cambria" w:hAnsi="Cambria" w:cs="Cambria"/>
          <w:b/>
          <w:color w:val="000000"/>
        </w:rPr>
        <w:t>6</w:t>
      </w:r>
      <w:r w:rsidR="00423F41">
        <w:rPr>
          <w:rFonts w:ascii="Cambria" w:eastAsia="Cambria" w:hAnsi="Cambria" w:cs="Cambria"/>
          <w:b/>
          <w:color w:val="000000"/>
        </w:rPr>
        <w:t>. Da destinação da Taxa de Coleta de Lixo</w:t>
      </w:r>
    </w:p>
    <w:p w14:paraId="4627AFCA" w14:textId="39F17906" w:rsidR="002977FB" w:rsidRDefault="00423F41">
      <w:pPr>
        <w:spacing w:after="200" w:line="240" w:lineRule="auto"/>
        <w:ind w:firstLine="709"/>
        <w:jc w:val="both"/>
        <w:rPr>
          <w:rFonts w:ascii="Times New Roman" w:eastAsia="Times New Roman" w:hAnsi="Times New Roman" w:cs="Times New Roman"/>
          <w:sz w:val="24"/>
          <w:szCs w:val="24"/>
        </w:rPr>
      </w:pPr>
      <w:r>
        <w:rPr>
          <w:rFonts w:ascii="Cambria" w:eastAsia="Cambria" w:hAnsi="Cambria" w:cs="Cambria"/>
          <w:color w:val="000000"/>
        </w:rPr>
        <w:t>O valor arrecadado com a Taxa de Coleta de Lixo financia parcialmente a coleta domiciliar, o destino final do lixo/transporte, as operações de manutenção e monitoramento, a quota de monitoramento ambiental, a coleta reciclável e cata-trec</w:t>
      </w:r>
      <w:r w:rsidR="001E24CD">
        <w:rPr>
          <w:rFonts w:ascii="Cambria" w:eastAsia="Cambria" w:hAnsi="Cambria" w:cs="Cambria"/>
          <w:color w:val="000000"/>
        </w:rPr>
        <w:t xml:space="preserve">o, conforme detalhado no item </w:t>
      </w:r>
      <w:r w:rsidR="00C07AB5">
        <w:rPr>
          <w:rFonts w:ascii="Cambria" w:eastAsia="Cambria" w:hAnsi="Cambria" w:cs="Cambria"/>
          <w:color w:val="000000"/>
        </w:rPr>
        <w:t>1</w:t>
      </w:r>
      <w:r w:rsidR="00677830">
        <w:rPr>
          <w:rFonts w:ascii="Cambria" w:eastAsia="Cambria" w:hAnsi="Cambria" w:cs="Cambria"/>
          <w:color w:val="000000"/>
        </w:rPr>
        <w:t>4</w:t>
      </w:r>
      <w:r>
        <w:rPr>
          <w:rFonts w:ascii="Cambria" w:eastAsia="Cambria" w:hAnsi="Cambria" w:cs="Cambria"/>
          <w:color w:val="000000"/>
        </w:rPr>
        <w:t>.</w:t>
      </w:r>
    </w:p>
    <w:p w14:paraId="7B8FB5AA" w14:textId="77777777" w:rsidR="002977FB" w:rsidRDefault="002977FB">
      <w:pPr>
        <w:spacing w:after="200" w:line="240" w:lineRule="auto"/>
        <w:jc w:val="both"/>
        <w:rPr>
          <w:rFonts w:ascii="Cambria" w:eastAsia="Cambria" w:hAnsi="Cambria" w:cs="Cambria"/>
          <w:b/>
          <w:color w:val="000000"/>
        </w:rPr>
      </w:pPr>
    </w:p>
    <w:p w14:paraId="5339406E"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INFORMAÇÕES ADICIONAIS</w:t>
      </w:r>
    </w:p>
    <w:p w14:paraId="56699799"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color w:val="000000"/>
        </w:rPr>
        <w:t>⇒ LANÇAMENTO</w:t>
      </w:r>
    </w:p>
    <w:p w14:paraId="2BE9A80B" w14:textId="2B930137" w:rsidR="002977FB" w:rsidRDefault="00423F41">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rPr>
        <w:t xml:space="preserve">Imóveis sem Construção:  </w:t>
      </w:r>
      <w:r w:rsidR="004A0B43" w:rsidRPr="00A12100">
        <w:rPr>
          <w:rFonts w:ascii="Cambria" w:eastAsia="Cambria" w:hAnsi="Cambria" w:cs="Cambria"/>
          <w:color w:val="000000" w:themeColor="text1"/>
        </w:rPr>
        <w:t>20.38</w:t>
      </w:r>
      <w:r w:rsidR="00A12100" w:rsidRPr="00A12100">
        <w:rPr>
          <w:rFonts w:ascii="Cambria" w:eastAsia="Cambria" w:hAnsi="Cambria" w:cs="Cambria"/>
          <w:color w:val="000000" w:themeColor="text1"/>
        </w:rPr>
        <w:t>0</w:t>
      </w:r>
      <w:r w:rsidRPr="00A12100">
        <w:rPr>
          <w:rFonts w:ascii="Cambria" w:eastAsia="Cambria" w:hAnsi="Cambria" w:cs="Cambria"/>
          <w:color w:val="000000" w:themeColor="text1"/>
        </w:rPr>
        <w:t xml:space="preserve"> </w:t>
      </w:r>
      <w:r>
        <w:rPr>
          <w:rFonts w:ascii="Cambria" w:eastAsia="Cambria" w:hAnsi="Cambria" w:cs="Cambria"/>
          <w:color w:val="000000"/>
        </w:rPr>
        <w:t>(alíquota 2,0%)</w:t>
      </w:r>
    </w:p>
    <w:p w14:paraId="3DE07135" w14:textId="242C6B24" w:rsidR="002977FB" w:rsidRDefault="00423F41">
      <w:pPr>
        <w:spacing w:after="0" w:line="240" w:lineRule="auto"/>
        <w:jc w:val="both"/>
        <w:rPr>
          <w:rFonts w:ascii="Times New Roman" w:eastAsia="Times New Roman" w:hAnsi="Times New Roman" w:cs="Times New Roman"/>
          <w:sz w:val="24"/>
          <w:szCs w:val="24"/>
        </w:rPr>
      </w:pPr>
      <w:r>
        <w:rPr>
          <w:rFonts w:ascii="Cambria" w:eastAsia="Cambria" w:hAnsi="Cambria" w:cs="Cambria"/>
          <w:color w:val="000000"/>
        </w:rPr>
        <w:t xml:space="preserve">Imóveis Construídos: </w:t>
      </w:r>
      <w:r w:rsidR="004A0B43" w:rsidRPr="00A12100">
        <w:rPr>
          <w:rFonts w:ascii="Cambria" w:eastAsia="Cambria" w:hAnsi="Cambria" w:cs="Cambria"/>
        </w:rPr>
        <w:t>160.</w:t>
      </w:r>
      <w:r w:rsidR="00A12100" w:rsidRPr="00A12100">
        <w:rPr>
          <w:rFonts w:ascii="Cambria" w:eastAsia="Cambria" w:hAnsi="Cambria" w:cs="Cambria"/>
        </w:rPr>
        <w:t>470</w:t>
      </w:r>
      <w:r w:rsidRPr="00A12100">
        <w:rPr>
          <w:rFonts w:ascii="Cambria" w:eastAsia="Cambria" w:hAnsi="Cambria" w:cs="Cambria"/>
        </w:rPr>
        <w:t xml:space="preserve"> </w:t>
      </w:r>
      <w:r>
        <w:rPr>
          <w:rFonts w:ascii="Cambria" w:eastAsia="Cambria" w:hAnsi="Cambria" w:cs="Cambria"/>
          <w:color w:val="000000"/>
        </w:rPr>
        <w:t>(alíquota 1,5%)</w:t>
      </w:r>
    </w:p>
    <w:p w14:paraId="6663D578" w14:textId="3B478BAC"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b/>
          <w:color w:val="000000"/>
        </w:rPr>
        <w:t xml:space="preserve">TOTAL – </w:t>
      </w:r>
      <w:r w:rsidR="004A0B43">
        <w:rPr>
          <w:rFonts w:ascii="Cambria" w:eastAsia="Cambria" w:hAnsi="Cambria" w:cs="Cambria"/>
          <w:b/>
          <w:color w:val="000000"/>
        </w:rPr>
        <w:t>18</w:t>
      </w:r>
      <w:r w:rsidR="00A12100">
        <w:rPr>
          <w:rFonts w:ascii="Cambria" w:eastAsia="Cambria" w:hAnsi="Cambria" w:cs="Cambria"/>
          <w:b/>
          <w:color w:val="000000"/>
        </w:rPr>
        <w:t>0.150</w:t>
      </w:r>
      <w:r w:rsidR="004A0B43">
        <w:rPr>
          <w:rFonts w:ascii="Cambria" w:eastAsia="Cambria" w:hAnsi="Cambria" w:cs="Cambria"/>
          <w:b/>
          <w:color w:val="000000"/>
        </w:rPr>
        <w:t xml:space="preserve"> </w:t>
      </w:r>
    </w:p>
    <w:p w14:paraId="1F0146EB" w14:textId="77777777" w:rsidR="002977FB" w:rsidRDefault="002977FB">
      <w:pPr>
        <w:spacing w:after="0" w:line="240" w:lineRule="auto"/>
        <w:rPr>
          <w:rFonts w:ascii="Times New Roman" w:eastAsia="Times New Roman" w:hAnsi="Times New Roman" w:cs="Times New Roman"/>
          <w:sz w:val="24"/>
          <w:szCs w:val="24"/>
        </w:rPr>
      </w:pPr>
    </w:p>
    <w:p w14:paraId="0F0A758C"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color w:val="000000"/>
        </w:rPr>
        <w:t>⇒ TAXA DE COLETA DE LIXO</w:t>
      </w:r>
    </w:p>
    <w:tbl>
      <w:tblPr>
        <w:tblStyle w:val="a2"/>
        <w:tblW w:w="2541" w:type="dxa"/>
        <w:tblInd w:w="0" w:type="dxa"/>
        <w:tblLayout w:type="fixed"/>
        <w:tblLook w:val="0400" w:firstRow="0" w:lastRow="0" w:firstColumn="0" w:lastColumn="0" w:noHBand="0" w:noVBand="1"/>
      </w:tblPr>
      <w:tblGrid>
        <w:gridCol w:w="663"/>
        <w:gridCol w:w="1878"/>
      </w:tblGrid>
      <w:tr w:rsidR="002977FB" w14:paraId="4ACBF060" w14:textId="77777777">
        <w:trPr>
          <w:trHeight w:val="315"/>
        </w:trPr>
        <w:tc>
          <w:tcPr>
            <w:tcW w:w="2541" w:type="dxa"/>
            <w:gridSpan w:val="2"/>
            <w:tcBorders>
              <w:top w:val="single" w:sz="4" w:space="0" w:color="000000"/>
              <w:bottom w:val="single" w:sz="4" w:space="0" w:color="000000"/>
            </w:tcBorders>
            <w:tcMar>
              <w:top w:w="0" w:type="dxa"/>
              <w:left w:w="108" w:type="dxa"/>
              <w:bottom w:w="0" w:type="dxa"/>
              <w:right w:w="108" w:type="dxa"/>
            </w:tcMar>
          </w:tcPr>
          <w:p w14:paraId="1F4C3CF9" w14:textId="77777777" w:rsidR="002977FB" w:rsidRDefault="00423F41">
            <w:pPr>
              <w:spacing w:after="0" w:line="240" w:lineRule="auto"/>
              <w:jc w:val="center"/>
              <w:rPr>
                <w:rFonts w:ascii="Times New Roman" w:eastAsia="Times New Roman" w:hAnsi="Times New Roman" w:cs="Times New Roman"/>
                <w:sz w:val="24"/>
                <w:szCs w:val="24"/>
              </w:rPr>
            </w:pPr>
            <w:r>
              <w:rPr>
                <w:b/>
                <w:color w:val="000000"/>
              </w:rPr>
              <w:t>Custo Despendido</w:t>
            </w:r>
          </w:p>
        </w:tc>
      </w:tr>
      <w:tr w:rsidR="002977FB" w14:paraId="30ABAB11" w14:textId="77777777">
        <w:trPr>
          <w:trHeight w:val="300"/>
        </w:trPr>
        <w:tc>
          <w:tcPr>
            <w:tcW w:w="663" w:type="dxa"/>
            <w:tcBorders>
              <w:top w:val="single" w:sz="4" w:space="0" w:color="000000"/>
            </w:tcBorders>
            <w:shd w:val="clear" w:color="auto" w:fill="CCCCCC"/>
            <w:tcMar>
              <w:top w:w="0" w:type="dxa"/>
              <w:left w:w="108" w:type="dxa"/>
              <w:bottom w:w="0" w:type="dxa"/>
              <w:right w:w="108" w:type="dxa"/>
            </w:tcMar>
          </w:tcPr>
          <w:p w14:paraId="0CD17D80" w14:textId="77777777" w:rsidR="002977FB" w:rsidRDefault="00E639AF">
            <w:pPr>
              <w:spacing w:after="0" w:line="240" w:lineRule="auto"/>
              <w:jc w:val="right"/>
              <w:rPr>
                <w:rFonts w:ascii="Times New Roman" w:eastAsia="Times New Roman" w:hAnsi="Times New Roman" w:cs="Times New Roman"/>
                <w:sz w:val="24"/>
                <w:szCs w:val="24"/>
              </w:rPr>
            </w:pPr>
            <w:r>
              <w:rPr>
                <w:b/>
                <w:color w:val="000000"/>
              </w:rPr>
              <w:t>2022</w:t>
            </w:r>
          </w:p>
        </w:tc>
        <w:tc>
          <w:tcPr>
            <w:tcW w:w="1878" w:type="dxa"/>
            <w:tcBorders>
              <w:top w:val="single" w:sz="4" w:space="0" w:color="000000"/>
            </w:tcBorders>
            <w:shd w:val="clear" w:color="auto" w:fill="CCCCCC"/>
            <w:tcMar>
              <w:top w:w="0" w:type="dxa"/>
              <w:left w:w="108" w:type="dxa"/>
              <w:bottom w:w="0" w:type="dxa"/>
              <w:right w:w="108" w:type="dxa"/>
            </w:tcMar>
          </w:tcPr>
          <w:p w14:paraId="5BC85D2F" w14:textId="77777777" w:rsidR="002977FB" w:rsidRDefault="00423F41" w:rsidP="00855EE7">
            <w:pPr>
              <w:spacing w:after="0" w:line="240" w:lineRule="auto"/>
              <w:rPr>
                <w:rFonts w:ascii="Times New Roman" w:eastAsia="Times New Roman" w:hAnsi="Times New Roman" w:cs="Times New Roman"/>
                <w:sz w:val="24"/>
                <w:szCs w:val="24"/>
              </w:rPr>
            </w:pPr>
            <w:r>
              <w:rPr>
                <w:color w:val="000000"/>
              </w:rPr>
              <w:t xml:space="preserve"> R$ </w:t>
            </w:r>
            <w:r w:rsidR="00E639AF">
              <w:rPr>
                <w:color w:val="000000"/>
              </w:rPr>
              <w:t>69.297.140,66</w:t>
            </w:r>
          </w:p>
        </w:tc>
      </w:tr>
      <w:tr w:rsidR="002977FB" w14:paraId="3BF08977" w14:textId="77777777">
        <w:trPr>
          <w:trHeight w:val="315"/>
        </w:trPr>
        <w:tc>
          <w:tcPr>
            <w:tcW w:w="663" w:type="dxa"/>
            <w:tcBorders>
              <w:bottom w:val="single" w:sz="4" w:space="0" w:color="000000"/>
            </w:tcBorders>
            <w:tcMar>
              <w:top w:w="0" w:type="dxa"/>
              <w:left w:w="108" w:type="dxa"/>
              <w:bottom w:w="0" w:type="dxa"/>
              <w:right w:w="108" w:type="dxa"/>
            </w:tcMar>
          </w:tcPr>
          <w:p w14:paraId="44CE8098" w14:textId="77777777" w:rsidR="002977FB" w:rsidRDefault="00E639AF">
            <w:pPr>
              <w:spacing w:after="0" w:line="240" w:lineRule="auto"/>
              <w:jc w:val="right"/>
              <w:rPr>
                <w:rFonts w:ascii="Times New Roman" w:eastAsia="Times New Roman" w:hAnsi="Times New Roman" w:cs="Times New Roman"/>
                <w:sz w:val="24"/>
                <w:szCs w:val="24"/>
              </w:rPr>
            </w:pPr>
            <w:r>
              <w:rPr>
                <w:b/>
                <w:color w:val="000000"/>
              </w:rPr>
              <w:t>2023</w:t>
            </w:r>
          </w:p>
        </w:tc>
        <w:tc>
          <w:tcPr>
            <w:tcW w:w="1878" w:type="dxa"/>
            <w:tcBorders>
              <w:bottom w:val="single" w:sz="4" w:space="0" w:color="000000"/>
            </w:tcBorders>
            <w:tcMar>
              <w:top w:w="0" w:type="dxa"/>
              <w:left w:w="108" w:type="dxa"/>
              <w:bottom w:w="0" w:type="dxa"/>
              <w:right w:w="108" w:type="dxa"/>
            </w:tcMar>
          </w:tcPr>
          <w:p w14:paraId="412823C1" w14:textId="77777777" w:rsidR="002977FB" w:rsidRDefault="00423F41" w:rsidP="00855EE7">
            <w:pPr>
              <w:spacing w:after="0" w:line="240" w:lineRule="auto"/>
              <w:rPr>
                <w:rFonts w:ascii="Times New Roman" w:eastAsia="Times New Roman" w:hAnsi="Times New Roman" w:cs="Times New Roman"/>
                <w:sz w:val="24"/>
                <w:szCs w:val="24"/>
              </w:rPr>
            </w:pPr>
            <w:r>
              <w:rPr>
                <w:color w:val="000000"/>
              </w:rPr>
              <w:t xml:space="preserve"> R$ </w:t>
            </w:r>
            <w:r w:rsidR="007522B7">
              <w:rPr>
                <w:color w:val="000000"/>
              </w:rPr>
              <w:t>73.860.488,39</w:t>
            </w:r>
          </w:p>
        </w:tc>
      </w:tr>
    </w:tbl>
    <w:p w14:paraId="1350786C" w14:textId="77777777" w:rsidR="002977FB" w:rsidRDefault="002977FB">
      <w:pPr>
        <w:spacing w:after="0" w:line="240" w:lineRule="auto"/>
        <w:rPr>
          <w:rFonts w:ascii="Times New Roman" w:eastAsia="Times New Roman" w:hAnsi="Times New Roman" w:cs="Times New Roman"/>
          <w:sz w:val="24"/>
          <w:szCs w:val="24"/>
        </w:rPr>
      </w:pPr>
    </w:p>
    <w:p w14:paraId="1128959D" w14:textId="77777777" w:rsidR="002977FB" w:rsidRDefault="002977FB">
      <w:pPr>
        <w:spacing w:after="0" w:line="240" w:lineRule="auto"/>
        <w:rPr>
          <w:rFonts w:ascii="Times New Roman" w:eastAsia="Times New Roman" w:hAnsi="Times New Roman" w:cs="Times New Roman"/>
          <w:sz w:val="24"/>
          <w:szCs w:val="24"/>
        </w:rPr>
      </w:pPr>
    </w:p>
    <w:tbl>
      <w:tblPr>
        <w:tblStyle w:val="a3"/>
        <w:tblW w:w="4518" w:type="dxa"/>
        <w:tblInd w:w="0" w:type="dxa"/>
        <w:tblLayout w:type="fixed"/>
        <w:tblLook w:val="0400" w:firstRow="0" w:lastRow="0" w:firstColumn="0" w:lastColumn="0" w:noHBand="0" w:noVBand="1"/>
      </w:tblPr>
      <w:tblGrid>
        <w:gridCol w:w="1390"/>
        <w:gridCol w:w="995"/>
        <w:gridCol w:w="995"/>
        <w:gridCol w:w="1138"/>
      </w:tblGrid>
      <w:tr w:rsidR="002977FB" w14:paraId="71BDC285" w14:textId="77777777" w:rsidTr="00C01F62">
        <w:trPr>
          <w:trHeight w:val="315"/>
        </w:trPr>
        <w:tc>
          <w:tcPr>
            <w:tcW w:w="4518" w:type="dxa"/>
            <w:gridSpan w:val="4"/>
            <w:tcBorders>
              <w:top w:val="single" w:sz="4" w:space="0" w:color="000000"/>
              <w:bottom w:val="single" w:sz="4" w:space="0" w:color="000000"/>
            </w:tcBorders>
            <w:tcMar>
              <w:top w:w="0" w:type="dxa"/>
              <w:left w:w="108" w:type="dxa"/>
              <w:bottom w:w="0" w:type="dxa"/>
              <w:right w:w="108" w:type="dxa"/>
            </w:tcMar>
          </w:tcPr>
          <w:p w14:paraId="5D005B5C" w14:textId="77777777" w:rsidR="002977FB" w:rsidRDefault="00423F41">
            <w:pPr>
              <w:spacing w:after="0" w:line="240" w:lineRule="auto"/>
              <w:jc w:val="center"/>
              <w:rPr>
                <w:rFonts w:ascii="Times New Roman" w:eastAsia="Times New Roman" w:hAnsi="Times New Roman" w:cs="Times New Roman"/>
                <w:sz w:val="24"/>
                <w:szCs w:val="24"/>
              </w:rPr>
            </w:pPr>
            <w:r>
              <w:rPr>
                <w:b/>
                <w:color w:val="000000"/>
              </w:rPr>
              <w:t>LIXO - valor por m² const.</w:t>
            </w:r>
          </w:p>
        </w:tc>
      </w:tr>
      <w:tr w:rsidR="002977FB" w14:paraId="076DF7AD" w14:textId="77777777" w:rsidTr="00C01F62">
        <w:trPr>
          <w:trHeight w:val="300"/>
        </w:trPr>
        <w:tc>
          <w:tcPr>
            <w:tcW w:w="1390" w:type="dxa"/>
            <w:tcBorders>
              <w:top w:val="single" w:sz="4" w:space="0" w:color="000000"/>
            </w:tcBorders>
            <w:shd w:val="clear" w:color="auto" w:fill="CCCCCC"/>
            <w:tcMar>
              <w:top w:w="0" w:type="dxa"/>
              <w:left w:w="108" w:type="dxa"/>
              <w:bottom w:w="0" w:type="dxa"/>
              <w:right w:w="108" w:type="dxa"/>
            </w:tcMar>
          </w:tcPr>
          <w:p w14:paraId="17DC49F3" w14:textId="77777777" w:rsidR="002977FB" w:rsidRDefault="002977FB">
            <w:pPr>
              <w:spacing w:after="0" w:line="240" w:lineRule="auto"/>
              <w:rPr>
                <w:rFonts w:ascii="Times New Roman" w:eastAsia="Times New Roman" w:hAnsi="Times New Roman" w:cs="Times New Roman"/>
                <w:sz w:val="24"/>
                <w:szCs w:val="24"/>
              </w:rPr>
            </w:pPr>
          </w:p>
        </w:tc>
        <w:tc>
          <w:tcPr>
            <w:tcW w:w="995" w:type="dxa"/>
            <w:tcBorders>
              <w:top w:val="single" w:sz="4" w:space="0" w:color="000000"/>
            </w:tcBorders>
            <w:shd w:val="clear" w:color="auto" w:fill="CCCCCC"/>
            <w:tcMar>
              <w:top w:w="0" w:type="dxa"/>
              <w:left w:w="108" w:type="dxa"/>
              <w:bottom w:w="0" w:type="dxa"/>
              <w:right w:w="108" w:type="dxa"/>
            </w:tcMar>
          </w:tcPr>
          <w:p w14:paraId="790DBCD3" w14:textId="77777777" w:rsidR="002977FB" w:rsidRDefault="00E639AF">
            <w:pPr>
              <w:spacing w:after="0" w:line="240" w:lineRule="auto"/>
              <w:jc w:val="center"/>
              <w:rPr>
                <w:rFonts w:ascii="Times New Roman" w:eastAsia="Times New Roman" w:hAnsi="Times New Roman" w:cs="Times New Roman"/>
                <w:sz w:val="24"/>
                <w:szCs w:val="24"/>
              </w:rPr>
            </w:pPr>
            <w:r>
              <w:rPr>
                <w:b/>
                <w:color w:val="000000"/>
              </w:rPr>
              <w:t>2022</w:t>
            </w:r>
          </w:p>
        </w:tc>
        <w:tc>
          <w:tcPr>
            <w:tcW w:w="995" w:type="dxa"/>
            <w:tcBorders>
              <w:top w:val="single" w:sz="4" w:space="0" w:color="000000"/>
            </w:tcBorders>
            <w:shd w:val="clear" w:color="auto" w:fill="CCCCCC"/>
            <w:tcMar>
              <w:top w:w="0" w:type="dxa"/>
              <w:left w:w="108" w:type="dxa"/>
              <w:bottom w:w="0" w:type="dxa"/>
              <w:right w:w="108" w:type="dxa"/>
            </w:tcMar>
          </w:tcPr>
          <w:p w14:paraId="1F11EAC8" w14:textId="77777777" w:rsidR="002977FB" w:rsidRDefault="00E639AF">
            <w:pPr>
              <w:spacing w:after="0" w:line="240" w:lineRule="auto"/>
              <w:jc w:val="center"/>
              <w:rPr>
                <w:rFonts w:ascii="Times New Roman" w:eastAsia="Times New Roman" w:hAnsi="Times New Roman" w:cs="Times New Roman"/>
                <w:sz w:val="24"/>
                <w:szCs w:val="24"/>
              </w:rPr>
            </w:pPr>
            <w:r>
              <w:rPr>
                <w:b/>
                <w:color w:val="000000"/>
              </w:rPr>
              <w:t>2023</w:t>
            </w:r>
          </w:p>
        </w:tc>
        <w:tc>
          <w:tcPr>
            <w:tcW w:w="1137" w:type="dxa"/>
            <w:tcBorders>
              <w:top w:val="single" w:sz="4" w:space="0" w:color="000000"/>
            </w:tcBorders>
            <w:shd w:val="clear" w:color="auto" w:fill="CCCCCC"/>
            <w:tcMar>
              <w:top w:w="0" w:type="dxa"/>
              <w:left w:w="108" w:type="dxa"/>
              <w:bottom w:w="0" w:type="dxa"/>
              <w:right w:w="108" w:type="dxa"/>
            </w:tcMar>
          </w:tcPr>
          <w:p w14:paraId="0D68C583" w14:textId="77777777" w:rsidR="002977FB" w:rsidRPr="003058AC" w:rsidRDefault="00C01F62" w:rsidP="00C01F62">
            <w:pPr>
              <w:spacing w:after="0" w:line="240" w:lineRule="auto"/>
              <w:jc w:val="center"/>
              <w:rPr>
                <w:rFonts w:ascii="Times New Roman" w:eastAsia="Times New Roman" w:hAnsi="Times New Roman" w:cs="Times New Roman"/>
                <w:sz w:val="20"/>
                <w:szCs w:val="20"/>
              </w:rPr>
            </w:pPr>
            <w:r>
              <w:rPr>
                <w:b/>
                <w:color w:val="000000"/>
                <w:sz w:val="20"/>
                <w:szCs w:val="20"/>
              </w:rPr>
              <w:t>Variação</w:t>
            </w:r>
          </w:p>
        </w:tc>
      </w:tr>
      <w:tr w:rsidR="002977FB" w14:paraId="197BD9C2" w14:textId="77777777" w:rsidTr="00C01F62">
        <w:trPr>
          <w:trHeight w:val="300"/>
        </w:trPr>
        <w:tc>
          <w:tcPr>
            <w:tcW w:w="1390" w:type="dxa"/>
            <w:tcMar>
              <w:top w:w="0" w:type="dxa"/>
              <w:left w:w="108" w:type="dxa"/>
              <w:bottom w:w="0" w:type="dxa"/>
              <w:right w:w="108" w:type="dxa"/>
            </w:tcMar>
          </w:tcPr>
          <w:p w14:paraId="20C36D75" w14:textId="77777777" w:rsidR="002977FB" w:rsidRDefault="00423F41">
            <w:pPr>
              <w:spacing w:after="0" w:line="240" w:lineRule="auto"/>
              <w:rPr>
                <w:rFonts w:ascii="Times New Roman" w:eastAsia="Times New Roman" w:hAnsi="Times New Roman" w:cs="Times New Roman"/>
                <w:sz w:val="24"/>
                <w:szCs w:val="24"/>
              </w:rPr>
            </w:pPr>
            <w:proofErr w:type="spellStart"/>
            <w:r>
              <w:rPr>
                <w:b/>
                <w:color w:val="000000"/>
              </w:rPr>
              <w:t>cod</w:t>
            </w:r>
            <w:proofErr w:type="spellEnd"/>
            <w:r>
              <w:rPr>
                <w:b/>
                <w:color w:val="000000"/>
              </w:rPr>
              <w:t>. 01 a 07</w:t>
            </w:r>
          </w:p>
        </w:tc>
        <w:tc>
          <w:tcPr>
            <w:tcW w:w="995" w:type="dxa"/>
            <w:tcMar>
              <w:top w:w="0" w:type="dxa"/>
              <w:left w:w="108" w:type="dxa"/>
              <w:bottom w:w="0" w:type="dxa"/>
              <w:right w:w="108" w:type="dxa"/>
            </w:tcMar>
          </w:tcPr>
          <w:p w14:paraId="044AF188" w14:textId="77777777" w:rsidR="002977FB" w:rsidRDefault="00E639AF">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1</w:t>
            </w:r>
            <w:proofErr w:type="gramEnd"/>
            <w:r>
              <w:rPr>
                <w:color w:val="000000"/>
              </w:rPr>
              <w:t>,24</w:t>
            </w:r>
          </w:p>
        </w:tc>
        <w:tc>
          <w:tcPr>
            <w:tcW w:w="995" w:type="dxa"/>
            <w:tcMar>
              <w:top w:w="0" w:type="dxa"/>
              <w:left w:w="108" w:type="dxa"/>
              <w:bottom w:w="0" w:type="dxa"/>
              <w:right w:w="108" w:type="dxa"/>
            </w:tcMar>
          </w:tcPr>
          <w:p w14:paraId="4A20A195" w14:textId="77777777" w:rsidR="002977FB" w:rsidRDefault="001C3BF1">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w:t>
            </w:r>
            <w:r w:rsidR="00423F41">
              <w:rPr>
                <w:color w:val="000000"/>
              </w:rPr>
              <w:t> </w:t>
            </w:r>
            <w:r w:rsidR="007522B7">
              <w:rPr>
                <w:color w:val="000000"/>
              </w:rPr>
              <w:t>1</w:t>
            </w:r>
            <w:proofErr w:type="gramEnd"/>
            <w:r w:rsidR="007522B7">
              <w:rPr>
                <w:color w:val="000000"/>
              </w:rPr>
              <w:t>,33</w:t>
            </w:r>
          </w:p>
        </w:tc>
        <w:tc>
          <w:tcPr>
            <w:tcW w:w="1137" w:type="dxa"/>
            <w:tcMar>
              <w:top w:w="0" w:type="dxa"/>
              <w:left w:w="108" w:type="dxa"/>
              <w:bottom w:w="0" w:type="dxa"/>
              <w:right w:w="108" w:type="dxa"/>
            </w:tcMar>
          </w:tcPr>
          <w:p w14:paraId="60E3AD4A" w14:textId="77777777" w:rsidR="002977FB" w:rsidRDefault="007522B7">
            <w:pPr>
              <w:spacing w:after="0" w:line="240" w:lineRule="auto"/>
              <w:jc w:val="center"/>
              <w:rPr>
                <w:rFonts w:ascii="Times New Roman" w:eastAsia="Times New Roman" w:hAnsi="Times New Roman" w:cs="Times New Roman"/>
                <w:sz w:val="24"/>
                <w:szCs w:val="24"/>
              </w:rPr>
            </w:pPr>
            <w:r w:rsidRPr="004A0B43">
              <w:rPr>
                <w:color w:val="000000" w:themeColor="text1"/>
              </w:rPr>
              <w:t>6,77</w:t>
            </w:r>
            <w:r w:rsidR="00423F41" w:rsidRPr="004A0B43">
              <w:rPr>
                <w:color w:val="000000" w:themeColor="text1"/>
              </w:rPr>
              <w:t>%</w:t>
            </w:r>
          </w:p>
        </w:tc>
      </w:tr>
      <w:tr w:rsidR="002977FB" w14:paraId="77537F40" w14:textId="77777777" w:rsidTr="00C01F62">
        <w:trPr>
          <w:trHeight w:val="300"/>
        </w:trPr>
        <w:tc>
          <w:tcPr>
            <w:tcW w:w="1390" w:type="dxa"/>
            <w:shd w:val="clear" w:color="auto" w:fill="CCCCCC"/>
            <w:tcMar>
              <w:top w:w="0" w:type="dxa"/>
              <w:left w:w="108" w:type="dxa"/>
              <w:bottom w:w="0" w:type="dxa"/>
              <w:right w:w="108" w:type="dxa"/>
            </w:tcMar>
          </w:tcPr>
          <w:p w14:paraId="3F5DB434" w14:textId="77777777" w:rsidR="002977FB" w:rsidRDefault="00423F41">
            <w:pPr>
              <w:spacing w:after="0" w:line="240" w:lineRule="auto"/>
              <w:rPr>
                <w:rFonts w:ascii="Times New Roman" w:eastAsia="Times New Roman" w:hAnsi="Times New Roman" w:cs="Times New Roman"/>
                <w:sz w:val="24"/>
                <w:szCs w:val="24"/>
              </w:rPr>
            </w:pPr>
            <w:proofErr w:type="spellStart"/>
            <w:r>
              <w:rPr>
                <w:b/>
                <w:color w:val="000000"/>
              </w:rPr>
              <w:t>cod</w:t>
            </w:r>
            <w:proofErr w:type="spellEnd"/>
            <w:r>
              <w:rPr>
                <w:b/>
                <w:color w:val="000000"/>
              </w:rPr>
              <w:t>. 08 a 14</w:t>
            </w:r>
          </w:p>
        </w:tc>
        <w:tc>
          <w:tcPr>
            <w:tcW w:w="995" w:type="dxa"/>
            <w:shd w:val="clear" w:color="auto" w:fill="CCCCCC"/>
            <w:tcMar>
              <w:top w:w="0" w:type="dxa"/>
              <w:left w:w="108" w:type="dxa"/>
              <w:bottom w:w="0" w:type="dxa"/>
              <w:right w:w="108" w:type="dxa"/>
            </w:tcMar>
          </w:tcPr>
          <w:p w14:paraId="08D708BC" w14:textId="77777777" w:rsidR="002977FB" w:rsidRDefault="00E639AF">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1</w:t>
            </w:r>
            <w:proofErr w:type="gramEnd"/>
            <w:r>
              <w:rPr>
                <w:color w:val="000000"/>
              </w:rPr>
              <w:t>,87</w:t>
            </w:r>
          </w:p>
        </w:tc>
        <w:tc>
          <w:tcPr>
            <w:tcW w:w="995" w:type="dxa"/>
            <w:shd w:val="clear" w:color="auto" w:fill="CCCCCC"/>
            <w:tcMar>
              <w:top w:w="0" w:type="dxa"/>
              <w:left w:w="108" w:type="dxa"/>
              <w:bottom w:w="0" w:type="dxa"/>
              <w:right w:w="108" w:type="dxa"/>
            </w:tcMar>
          </w:tcPr>
          <w:p w14:paraId="3C76BF9B" w14:textId="77777777" w:rsidR="002977FB" w:rsidRDefault="00423F41" w:rsidP="001C3BF1">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xml:space="preserve">$ </w:t>
            </w:r>
            <w:r w:rsidR="00E639AF">
              <w:rPr>
                <w:color w:val="000000"/>
              </w:rPr>
              <w:t xml:space="preserve"> </w:t>
            </w:r>
            <w:r w:rsidR="007522B7">
              <w:rPr>
                <w:color w:val="000000"/>
              </w:rPr>
              <w:t>2</w:t>
            </w:r>
            <w:proofErr w:type="gramEnd"/>
            <w:r w:rsidR="007522B7">
              <w:rPr>
                <w:color w:val="000000"/>
              </w:rPr>
              <w:t>,02</w:t>
            </w:r>
          </w:p>
        </w:tc>
        <w:tc>
          <w:tcPr>
            <w:tcW w:w="1137" w:type="dxa"/>
            <w:shd w:val="clear" w:color="auto" w:fill="CCCCCC"/>
            <w:tcMar>
              <w:top w:w="0" w:type="dxa"/>
              <w:left w:w="108" w:type="dxa"/>
              <w:bottom w:w="0" w:type="dxa"/>
              <w:right w:w="108" w:type="dxa"/>
            </w:tcMar>
          </w:tcPr>
          <w:p w14:paraId="32A176B3" w14:textId="77777777" w:rsidR="002977FB" w:rsidRPr="004A0B43" w:rsidRDefault="007522B7">
            <w:pPr>
              <w:spacing w:after="0" w:line="240" w:lineRule="auto"/>
              <w:jc w:val="center"/>
              <w:rPr>
                <w:rFonts w:ascii="Times New Roman" w:eastAsia="Times New Roman" w:hAnsi="Times New Roman" w:cs="Times New Roman"/>
                <w:color w:val="000000" w:themeColor="text1"/>
                <w:sz w:val="24"/>
                <w:szCs w:val="24"/>
              </w:rPr>
            </w:pPr>
            <w:r w:rsidRPr="004A0B43">
              <w:rPr>
                <w:color w:val="000000" w:themeColor="text1"/>
              </w:rPr>
              <w:t>7,43</w:t>
            </w:r>
            <w:r w:rsidR="00423F41" w:rsidRPr="004A0B43">
              <w:rPr>
                <w:color w:val="000000" w:themeColor="text1"/>
              </w:rPr>
              <w:t>%</w:t>
            </w:r>
          </w:p>
        </w:tc>
      </w:tr>
      <w:tr w:rsidR="002977FB" w14:paraId="1DF45A3C" w14:textId="77777777" w:rsidTr="00C01F62">
        <w:trPr>
          <w:trHeight w:val="315"/>
        </w:trPr>
        <w:tc>
          <w:tcPr>
            <w:tcW w:w="1390" w:type="dxa"/>
            <w:tcBorders>
              <w:bottom w:val="single" w:sz="4" w:space="0" w:color="000000"/>
            </w:tcBorders>
            <w:tcMar>
              <w:top w:w="0" w:type="dxa"/>
              <w:left w:w="108" w:type="dxa"/>
              <w:bottom w:w="0" w:type="dxa"/>
              <w:right w:w="108" w:type="dxa"/>
            </w:tcMar>
          </w:tcPr>
          <w:p w14:paraId="5945AC5D" w14:textId="77777777" w:rsidR="002977FB" w:rsidRDefault="00423F41">
            <w:pPr>
              <w:spacing w:after="0" w:line="240" w:lineRule="auto"/>
              <w:rPr>
                <w:rFonts w:ascii="Times New Roman" w:eastAsia="Times New Roman" w:hAnsi="Times New Roman" w:cs="Times New Roman"/>
                <w:sz w:val="24"/>
                <w:szCs w:val="24"/>
              </w:rPr>
            </w:pPr>
            <w:proofErr w:type="spellStart"/>
            <w:r>
              <w:rPr>
                <w:b/>
                <w:color w:val="000000"/>
              </w:rPr>
              <w:t>cod</w:t>
            </w:r>
            <w:proofErr w:type="spellEnd"/>
            <w:r>
              <w:rPr>
                <w:b/>
                <w:color w:val="000000"/>
              </w:rPr>
              <w:t>. 15 a 32</w:t>
            </w:r>
          </w:p>
        </w:tc>
        <w:tc>
          <w:tcPr>
            <w:tcW w:w="995" w:type="dxa"/>
            <w:tcBorders>
              <w:bottom w:val="single" w:sz="4" w:space="0" w:color="000000"/>
            </w:tcBorders>
            <w:tcMar>
              <w:top w:w="0" w:type="dxa"/>
              <w:left w:w="108" w:type="dxa"/>
              <w:bottom w:w="0" w:type="dxa"/>
              <w:right w:w="108" w:type="dxa"/>
            </w:tcMar>
          </w:tcPr>
          <w:p w14:paraId="60F25E33" w14:textId="77777777" w:rsidR="002977FB" w:rsidRDefault="00E639AF">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3</w:t>
            </w:r>
            <w:proofErr w:type="gramEnd"/>
            <w:r>
              <w:rPr>
                <w:color w:val="000000"/>
              </w:rPr>
              <w:t>,75</w:t>
            </w:r>
          </w:p>
        </w:tc>
        <w:tc>
          <w:tcPr>
            <w:tcW w:w="995" w:type="dxa"/>
            <w:tcBorders>
              <w:bottom w:val="single" w:sz="4" w:space="0" w:color="000000"/>
            </w:tcBorders>
            <w:tcMar>
              <w:top w:w="0" w:type="dxa"/>
              <w:left w:w="108" w:type="dxa"/>
              <w:bottom w:w="0" w:type="dxa"/>
              <w:right w:w="108" w:type="dxa"/>
            </w:tcMar>
          </w:tcPr>
          <w:p w14:paraId="4D14B261" w14:textId="77777777" w:rsidR="002977FB" w:rsidRDefault="001C3BF1">
            <w:pPr>
              <w:spacing w:after="0" w:line="240" w:lineRule="auto"/>
              <w:rPr>
                <w:rFonts w:ascii="Times New Roman" w:eastAsia="Times New Roman" w:hAnsi="Times New Roman" w:cs="Times New Roman"/>
                <w:sz w:val="24"/>
                <w:szCs w:val="24"/>
              </w:rPr>
            </w:pPr>
            <w:r>
              <w:rPr>
                <w:color w:val="000000"/>
              </w:rPr>
              <w:t>R</w:t>
            </w:r>
            <w:proofErr w:type="gramStart"/>
            <w:r>
              <w:rPr>
                <w:color w:val="000000"/>
              </w:rPr>
              <w:t>$ </w:t>
            </w:r>
            <w:r w:rsidR="00E639AF">
              <w:rPr>
                <w:color w:val="000000"/>
              </w:rPr>
              <w:t xml:space="preserve"> </w:t>
            </w:r>
            <w:r w:rsidR="007522B7">
              <w:rPr>
                <w:color w:val="000000"/>
              </w:rPr>
              <w:t>4</w:t>
            </w:r>
            <w:proofErr w:type="gramEnd"/>
            <w:r w:rsidR="007522B7">
              <w:rPr>
                <w:color w:val="000000"/>
              </w:rPr>
              <w:t>,03</w:t>
            </w:r>
          </w:p>
        </w:tc>
        <w:tc>
          <w:tcPr>
            <w:tcW w:w="1137" w:type="dxa"/>
            <w:tcBorders>
              <w:bottom w:val="single" w:sz="4" w:space="0" w:color="000000"/>
            </w:tcBorders>
            <w:tcMar>
              <w:top w:w="0" w:type="dxa"/>
              <w:left w:w="108" w:type="dxa"/>
              <w:bottom w:w="0" w:type="dxa"/>
              <w:right w:w="108" w:type="dxa"/>
            </w:tcMar>
          </w:tcPr>
          <w:p w14:paraId="2E0C03A3" w14:textId="77777777" w:rsidR="002977FB" w:rsidRPr="004A0B43" w:rsidRDefault="007522B7">
            <w:pPr>
              <w:spacing w:after="0" w:line="240" w:lineRule="auto"/>
              <w:jc w:val="center"/>
              <w:rPr>
                <w:rFonts w:ascii="Times New Roman" w:eastAsia="Times New Roman" w:hAnsi="Times New Roman" w:cs="Times New Roman"/>
                <w:color w:val="000000" w:themeColor="text1"/>
                <w:sz w:val="24"/>
                <w:szCs w:val="24"/>
              </w:rPr>
            </w:pPr>
            <w:r w:rsidRPr="004A0B43">
              <w:rPr>
                <w:color w:val="000000" w:themeColor="text1"/>
              </w:rPr>
              <w:t>6,95</w:t>
            </w:r>
            <w:r w:rsidR="00423F41" w:rsidRPr="004A0B43">
              <w:rPr>
                <w:color w:val="000000" w:themeColor="text1"/>
              </w:rPr>
              <w:t>%</w:t>
            </w:r>
          </w:p>
        </w:tc>
      </w:tr>
    </w:tbl>
    <w:p w14:paraId="3E8DA371" w14:textId="77777777" w:rsidR="002977FB" w:rsidRDefault="002977FB">
      <w:pPr>
        <w:spacing w:after="240" w:line="240" w:lineRule="auto"/>
        <w:rPr>
          <w:rFonts w:ascii="Times New Roman" w:eastAsia="Times New Roman" w:hAnsi="Times New Roman" w:cs="Times New Roman"/>
          <w:sz w:val="24"/>
          <w:szCs w:val="24"/>
        </w:rPr>
      </w:pPr>
    </w:p>
    <w:p w14:paraId="5AC40788" w14:textId="77777777" w:rsidR="00C07AB5" w:rsidRDefault="00C07AB5">
      <w:pPr>
        <w:spacing w:after="240" w:line="240" w:lineRule="auto"/>
        <w:rPr>
          <w:rFonts w:ascii="Times New Roman" w:eastAsia="Times New Roman" w:hAnsi="Times New Roman" w:cs="Times New Roman"/>
          <w:sz w:val="24"/>
          <w:szCs w:val="24"/>
        </w:rPr>
      </w:pPr>
    </w:p>
    <w:p w14:paraId="2D61D24F"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color w:val="000000"/>
        </w:rPr>
        <w:t>⇒ IPTU ELETRÔNICO</w:t>
      </w:r>
    </w:p>
    <w:p w14:paraId="1CCDFBBD" w14:textId="77777777" w:rsidR="002977FB" w:rsidRDefault="00423F41">
      <w:pPr>
        <w:spacing w:after="200" w:line="240" w:lineRule="auto"/>
        <w:jc w:val="both"/>
        <w:rPr>
          <w:rFonts w:ascii="Times New Roman" w:eastAsia="Times New Roman" w:hAnsi="Times New Roman" w:cs="Times New Roman"/>
          <w:sz w:val="24"/>
          <w:szCs w:val="24"/>
        </w:rPr>
      </w:pPr>
      <w:r>
        <w:rPr>
          <w:rFonts w:ascii="Cambria" w:eastAsia="Cambria" w:hAnsi="Cambria" w:cs="Cambria"/>
          <w:color w:val="000000"/>
        </w:rPr>
        <w:t xml:space="preserve">2019 – </w:t>
      </w:r>
      <w:proofErr w:type="gramStart"/>
      <w:r>
        <w:rPr>
          <w:rFonts w:ascii="Cambria" w:eastAsia="Cambria" w:hAnsi="Cambria" w:cs="Cambria"/>
          <w:color w:val="000000"/>
        </w:rPr>
        <w:t>foram</w:t>
      </w:r>
      <w:proofErr w:type="gramEnd"/>
      <w:r>
        <w:rPr>
          <w:rFonts w:ascii="Cambria" w:eastAsia="Cambria" w:hAnsi="Cambria" w:cs="Cambria"/>
          <w:color w:val="000000"/>
        </w:rPr>
        <w:t xml:space="preserve"> enviados </w:t>
      </w:r>
      <w:r>
        <w:rPr>
          <w:rFonts w:ascii="Cambria" w:eastAsia="Cambria" w:hAnsi="Cambria" w:cs="Cambria"/>
          <w:b/>
          <w:color w:val="000000"/>
        </w:rPr>
        <w:t>4.187</w:t>
      </w:r>
      <w:r>
        <w:rPr>
          <w:rFonts w:ascii="Cambria" w:eastAsia="Cambria" w:hAnsi="Cambria" w:cs="Cambria"/>
          <w:color w:val="000000"/>
        </w:rPr>
        <w:t xml:space="preserve"> por e-mail;</w:t>
      </w:r>
    </w:p>
    <w:p w14:paraId="253F4FBD" w14:textId="77777777" w:rsidR="002977FB" w:rsidRDefault="00423F41">
      <w:pPr>
        <w:spacing w:after="200" w:line="240" w:lineRule="auto"/>
        <w:jc w:val="both"/>
        <w:rPr>
          <w:rFonts w:ascii="Cambria" w:eastAsia="Cambria" w:hAnsi="Cambria" w:cs="Cambria"/>
          <w:color w:val="000000"/>
        </w:rPr>
      </w:pPr>
      <w:r>
        <w:rPr>
          <w:rFonts w:ascii="Cambria" w:eastAsia="Cambria" w:hAnsi="Cambria" w:cs="Cambria"/>
          <w:color w:val="000000"/>
        </w:rPr>
        <w:t xml:space="preserve">2020 - </w:t>
      </w:r>
      <w:proofErr w:type="gramStart"/>
      <w:r>
        <w:rPr>
          <w:rFonts w:ascii="Cambria" w:eastAsia="Cambria" w:hAnsi="Cambria" w:cs="Cambria"/>
          <w:color w:val="000000"/>
        </w:rPr>
        <w:t>foram</w:t>
      </w:r>
      <w:proofErr w:type="gramEnd"/>
      <w:r>
        <w:rPr>
          <w:rFonts w:ascii="Cambria" w:eastAsia="Cambria" w:hAnsi="Cambria" w:cs="Cambria"/>
          <w:color w:val="000000"/>
        </w:rPr>
        <w:t xml:space="preserve"> enviados</w:t>
      </w:r>
      <w:r>
        <w:rPr>
          <w:rFonts w:ascii="Cambria" w:eastAsia="Cambria" w:hAnsi="Cambria" w:cs="Cambria"/>
          <w:b/>
          <w:color w:val="000000"/>
        </w:rPr>
        <w:t xml:space="preserve"> 9.285 </w:t>
      </w:r>
      <w:r>
        <w:rPr>
          <w:rFonts w:ascii="Cambria" w:eastAsia="Cambria" w:hAnsi="Cambria" w:cs="Cambria"/>
          <w:color w:val="000000"/>
        </w:rPr>
        <w:t>por e-mail;</w:t>
      </w:r>
    </w:p>
    <w:p w14:paraId="08E2C37B" w14:textId="77777777" w:rsidR="00C01F62" w:rsidRDefault="00AF7172" w:rsidP="00AF7172">
      <w:pPr>
        <w:spacing w:after="200" w:line="240" w:lineRule="auto"/>
        <w:jc w:val="both"/>
        <w:rPr>
          <w:rFonts w:ascii="Cambria" w:eastAsia="Cambria" w:hAnsi="Cambria" w:cs="Cambria"/>
          <w:color w:val="000000"/>
        </w:rPr>
      </w:pPr>
      <w:r>
        <w:rPr>
          <w:rFonts w:ascii="Cambria" w:eastAsia="Cambria" w:hAnsi="Cambria" w:cs="Cambria"/>
          <w:color w:val="000000"/>
        </w:rPr>
        <w:t xml:space="preserve">2021 – </w:t>
      </w:r>
      <w:proofErr w:type="gramStart"/>
      <w:r>
        <w:rPr>
          <w:rFonts w:ascii="Cambria" w:eastAsia="Cambria" w:hAnsi="Cambria" w:cs="Cambria"/>
          <w:color w:val="000000"/>
        </w:rPr>
        <w:t>foram</w:t>
      </w:r>
      <w:proofErr w:type="gramEnd"/>
      <w:r>
        <w:rPr>
          <w:rFonts w:ascii="Cambria" w:eastAsia="Cambria" w:hAnsi="Cambria" w:cs="Cambria"/>
          <w:color w:val="000000"/>
        </w:rPr>
        <w:t xml:space="preserve"> enviados </w:t>
      </w:r>
      <w:r>
        <w:rPr>
          <w:rFonts w:ascii="Cambria" w:eastAsia="Cambria" w:hAnsi="Cambria" w:cs="Cambria"/>
          <w:b/>
          <w:color w:val="000000"/>
        </w:rPr>
        <w:t xml:space="preserve">12.969 </w:t>
      </w:r>
      <w:r>
        <w:rPr>
          <w:rFonts w:ascii="Cambria" w:eastAsia="Cambria" w:hAnsi="Cambria" w:cs="Cambria"/>
          <w:color w:val="000000"/>
        </w:rPr>
        <w:t>por e-mail;</w:t>
      </w:r>
    </w:p>
    <w:p w14:paraId="7E71F389" w14:textId="77777777" w:rsidR="00E639AF" w:rsidRDefault="00E639AF" w:rsidP="00AF7172">
      <w:pPr>
        <w:spacing w:after="200" w:line="240" w:lineRule="auto"/>
        <w:jc w:val="both"/>
        <w:rPr>
          <w:rFonts w:ascii="Cambria" w:eastAsia="Cambria" w:hAnsi="Cambria" w:cs="Cambria"/>
          <w:color w:val="000000"/>
        </w:rPr>
      </w:pPr>
      <w:r>
        <w:rPr>
          <w:rFonts w:ascii="Cambria" w:eastAsia="Cambria" w:hAnsi="Cambria" w:cs="Cambria"/>
          <w:color w:val="000000"/>
        </w:rPr>
        <w:t xml:space="preserve">2022 – </w:t>
      </w:r>
      <w:proofErr w:type="gramStart"/>
      <w:r>
        <w:rPr>
          <w:rFonts w:ascii="Cambria" w:eastAsia="Cambria" w:hAnsi="Cambria" w:cs="Cambria"/>
          <w:color w:val="000000"/>
        </w:rPr>
        <w:t>foram</w:t>
      </w:r>
      <w:proofErr w:type="gramEnd"/>
      <w:r>
        <w:rPr>
          <w:rFonts w:ascii="Cambria" w:eastAsia="Cambria" w:hAnsi="Cambria" w:cs="Cambria"/>
          <w:color w:val="000000"/>
        </w:rPr>
        <w:t xml:space="preserve"> enviados </w:t>
      </w:r>
      <w:r w:rsidR="001B36D5" w:rsidRPr="001B36D5">
        <w:rPr>
          <w:rFonts w:ascii="Cambria" w:eastAsia="Cambria" w:hAnsi="Cambria" w:cs="Cambria"/>
          <w:b/>
          <w:color w:val="000000"/>
        </w:rPr>
        <w:t xml:space="preserve">20.409 </w:t>
      </w:r>
      <w:r w:rsidR="001B36D5">
        <w:rPr>
          <w:rFonts w:ascii="Cambria" w:eastAsia="Cambria" w:hAnsi="Cambria" w:cs="Cambria"/>
          <w:color w:val="000000"/>
        </w:rPr>
        <w:t>por e-mail;</w:t>
      </w:r>
    </w:p>
    <w:p w14:paraId="7498D543" w14:textId="77777777" w:rsidR="001B36D5" w:rsidRDefault="001B36D5" w:rsidP="00AF7172">
      <w:pPr>
        <w:spacing w:after="200" w:line="240" w:lineRule="auto"/>
        <w:jc w:val="both"/>
        <w:rPr>
          <w:rFonts w:ascii="Cambria" w:eastAsia="Cambria" w:hAnsi="Cambria" w:cs="Cambria"/>
          <w:color w:val="000000"/>
        </w:rPr>
      </w:pPr>
      <w:r>
        <w:rPr>
          <w:rFonts w:ascii="Cambria" w:eastAsia="Cambria" w:hAnsi="Cambria" w:cs="Cambria"/>
          <w:color w:val="000000"/>
        </w:rPr>
        <w:t xml:space="preserve">2023 – </w:t>
      </w:r>
      <w:proofErr w:type="gramStart"/>
      <w:r>
        <w:rPr>
          <w:rFonts w:ascii="Cambria" w:eastAsia="Cambria" w:hAnsi="Cambria" w:cs="Cambria"/>
          <w:color w:val="000000"/>
        </w:rPr>
        <w:t>foram</w:t>
      </w:r>
      <w:proofErr w:type="gramEnd"/>
      <w:r>
        <w:rPr>
          <w:rFonts w:ascii="Cambria" w:eastAsia="Cambria" w:hAnsi="Cambria" w:cs="Cambria"/>
          <w:color w:val="000000"/>
        </w:rPr>
        <w:t xml:space="preserve"> enviados </w:t>
      </w:r>
      <w:r w:rsidR="004A0B43" w:rsidRPr="004A0B43">
        <w:rPr>
          <w:rFonts w:ascii="Cambria" w:eastAsia="Cambria" w:hAnsi="Cambria" w:cs="Cambria"/>
          <w:b/>
          <w:color w:val="000000"/>
        </w:rPr>
        <w:t>28.022</w:t>
      </w:r>
      <w:r w:rsidR="004A0B43">
        <w:rPr>
          <w:rFonts w:ascii="Cambria" w:eastAsia="Cambria" w:hAnsi="Cambria" w:cs="Cambria"/>
          <w:color w:val="000000"/>
        </w:rPr>
        <w:t xml:space="preserve"> por e-mail;</w:t>
      </w:r>
    </w:p>
    <w:p w14:paraId="263A6D58" w14:textId="77777777" w:rsidR="00E639AF" w:rsidRDefault="00E639AF" w:rsidP="00AF7172">
      <w:pPr>
        <w:spacing w:after="200" w:line="240" w:lineRule="auto"/>
        <w:jc w:val="both"/>
        <w:rPr>
          <w:rFonts w:ascii="Cambria" w:eastAsia="Cambria" w:hAnsi="Cambria" w:cs="Cambria"/>
          <w:color w:val="000000"/>
        </w:rPr>
      </w:pPr>
    </w:p>
    <w:p w14:paraId="2A818224" w14:textId="78968D93" w:rsidR="002977FB" w:rsidRDefault="00E639AF">
      <w:pPr>
        <w:spacing w:after="200" w:line="240" w:lineRule="auto"/>
        <w:jc w:val="both"/>
        <w:rPr>
          <w:rFonts w:ascii="Times New Roman" w:eastAsia="Times New Roman" w:hAnsi="Times New Roman" w:cs="Times New Roman"/>
          <w:sz w:val="24"/>
          <w:szCs w:val="24"/>
        </w:rPr>
      </w:pPr>
      <w:r>
        <w:rPr>
          <w:rFonts w:ascii="Cambria" w:eastAsia="Cambria" w:hAnsi="Cambria" w:cs="Cambria"/>
          <w:color w:val="000000"/>
        </w:rPr>
        <w:t>Até 10/12/2022</w:t>
      </w:r>
      <w:r w:rsidR="00423F41">
        <w:rPr>
          <w:rFonts w:ascii="Cambria" w:eastAsia="Cambria" w:hAnsi="Cambria" w:cs="Cambria"/>
          <w:color w:val="000000"/>
        </w:rPr>
        <w:t xml:space="preserve">, estão cadastrados </w:t>
      </w:r>
      <w:r w:rsidR="004A0B43" w:rsidRPr="00A12100">
        <w:rPr>
          <w:rFonts w:ascii="Cambria" w:eastAsia="Cambria" w:hAnsi="Cambria" w:cs="Cambria"/>
          <w:b/>
        </w:rPr>
        <w:t>28.0</w:t>
      </w:r>
      <w:r w:rsidR="00D25160" w:rsidRPr="00A12100">
        <w:rPr>
          <w:rFonts w:ascii="Cambria" w:eastAsia="Cambria" w:hAnsi="Cambria" w:cs="Cambria"/>
          <w:b/>
        </w:rPr>
        <w:t>0</w:t>
      </w:r>
      <w:r w:rsidR="004A0B43" w:rsidRPr="00A12100">
        <w:rPr>
          <w:rFonts w:ascii="Cambria" w:eastAsia="Cambria" w:hAnsi="Cambria" w:cs="Cambria"/>
          <w:b/>
        </w:rPr>
        <w:t>2</w:t>
      </w:r>
      <w:r w:rsidR="00423F41" w:rsidRPr="00A12100">
        <w:rPr>
          <w:rFonts w:ascii="Cambria" w:eastAsia="Cambria" w:hAnsi="Cambria" w:cs="Cambria"/>
          <w:b/>
        </w:rPr>
        <w:t xml:space="preserve"> </w:t>
      </w:r>
      <w:r w:rsidR="00423F41">
        <w:rPr>
          <w:rFonts w:ascii="Cambria" w:eastAsia="Cambria" w:hAnsi="Cambria" w:cs="Cambria"/>
          <w:color w:val="000000"/>
        </w:rPr>
        <w:t>contribu</w:t>
      </w:r>
      <w:r>
        <w:rPr>
          <w:rFonts w:ascii="Cambria" w:eastAsia="Cambria" w:hAnsi="Cambria" w:cs="Cambria"/>
          <w:color w:val="000000"/>
        </w:rPr>
        <w:t>intes para recebimento IPTU 2023</w:t>
      </w:r>
      <w:r w:rsidR="00423F41">
        <w:rPr>
          <w:rFonts w:ascii="Cambria" w:eastAsia="Cambria" w:hAnsi="Cambria" w:cs="Cambria"/>
          <w:color w:val="000000"/>
        </w:rPr>
        <w:t xml:space="preserve"> po</w:t>
      </w:r>
      <w:r w:rsidR="00AF7172">
        <w:rPr>
          <w:rFonts w:ascii="Cambria" w:eastAsia="Cambria" w:hAnsi="Cambria" w:cs="Cambria"/>
          <w:color w:val="000000"/>
        </w:rPr>
        <w:t xml:space="preserve">r e-mail, que corresponde à </w:t>
      </w:r>
      <w:r w:rsidR="004A0B43" w:rsidRPr="00A12100">
        <w:rPr>
          <w:rFonts w:ascii="Cambria" w:eastAsia="Cambria" w:hAnsi="Cambria" w:cs="Cambria"/>
        </w:rPr>
        <w:t>15,4</w:t>
      </w:r>
      <w:r w:rsidR="00A12100" w:rsidRPr="00A12100">
        <w:rPr>
          <w:rFonts w:ascii="Cambria" w:eastAsia="Cambria" w:hAnsi="Cambria" w:cs="Cambria"/>
        </w:rPr>
        <w:t>8</w:t>
      </w:r>
      <w:r w:rsidR="00423F41" w:rsidRPr="00D1792B">
        <w:rPr>
          <w:rFonts w:ascii="Cambria" w:eastAsia="Cambria" w:hAnsi="Cambria" w:cs="Cambria"/>
        </w:rPr>
        <w:t xml:space="preserve">% </w:t>
      </w:r>
      <w:r w:rsidR="00423F41">
        <w:rPr>
          <w:rFonts w:ascii="Cambria" w:eastAsia="Cambria" w:hAnsi="Cambria" w:cs="Cambria"/>
          <w:color w:val="000000"/>
        </w:rPr>
        <w:t>do total de imóveis lançados.</w:t>
      </w:r>
    </w:p>
    <w:p w14:paraId="456A6942" w14:textId="77777777" w:rsidR="002977FB" w:rsidRDefault="002977FB"/>
    <w:sectPr w:rsidR="002977FB" w:rsidSect="00973386">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8A8B" w14:textId="77777777" w:rsidR="00BF1DEB" w:rsidRDefault="00BF1DEB" w:rsidP="003058AC">
      <w:pPr>
        <w:spacing w:after="0" w:line="240" w:lineRule="auto"/>
      </w:pPr>
      <w:r>
        <w:separator/>
      </w:r>
    </w:p>
  </w:endnote>
  <w:endnote w:type="continuationSeparator" w:id="0">
    <w:p w14:paraId="583B94BF" w14:textId="77777777" w:rsidR="00BF1DEB" w:rsidRDefault="00BF1DEB" w:rsidP="003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ECA2" w14:textId="77777777" w:rsidR="00BF1DEB" w:rsidRDefault="00BF1DEB" w:rsidP="003058AC">
      <w:pPr>
        <w:spacing w:after="0" w:line="240" w:lineRule="auto"/>
      </w:pPr>
      <w:r>
        <w:separator/>
      </w:r>
    </w:p>
  </w:footnote>
  <w:footnote w:type="continuationSeparator" w:id="0">
    <w:p w14:paraId="4B814325" w14:textId="77777777" w:rsidR="00BF1DEB" w:rsidRDefault="00BF1DEB" w:rsidP="0030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A17"/>
    <w:multiLevelType w:val="multilevel"/>
    <w:tmpl w:val="735CF5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04194B"/>
    <w:multiLevelType w:val="multilevel"/>
    <w:tmpl w:val="256AC0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4781654">
    <w:abstractNumId w:val="1"/>
  </w:num>
  <w:num w:numId="2" w16cid:durableId="24245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FB"/>
    <w:rsid w:val="000E46FB"/>
    <w:rsid w:val="00174651"/>
    <w:rsid w:val="00194C74"/>
    <w:rsid w:val="001A1EDE"/>
    <w:rsid w:val="001B36D5"/>
    <w:rsid w:val="001C3BF1"/>
    <w:rsid w:val="001E24CD"/>
    <w:rsid w:val="00281F58"/>
    <w:rsid w:val="00296077"/>
    <w:rsid w:val="002977FB"/>
    <w:rsid w:val="003058AC"/>
    <w:rsid w:val="003F130E"/>
    <w:rsid w:val="00423F41"/>
    <w:rsid w:val="0046622D"/>
    <w:rsid w:val="00471300"/>
    <w:rsid w:val="00496D75"/>
    <w:rsid w:val="004A0B43"/>
    <w:rsid w:val="004A4552"/>
    <w:rsid w:val="004C61FC"/>
    <w:rsid w:val="004D2213"/>
    <w:rsid w:val="004D62ED"/>
    <w:rsid w:val="00517CE5"/>
    <w:rsid w:val="00547832"/>
    <w:rsid w:val="005536BD"/>
    <w:rsid w:val="00677830"/>
    <w:rsid w:val="00683B42"/>
    <w:rsid w:val="007229CF"/>
    <w:rsid w:val="007522B7"/>
    <w:rsid w:val="00791A87"/>
    <w:rsid w:val="007D0691"/>
    <w:rsid w:val="00804650"/>
    <w:rsid w:val="00804EF0"/>
    <w:rsid w:val="00846FA9"/>
    <w:rsid w:val="00855EE7"/>
    <w:rsid w:val="008B1DCC"/>
    <w:rsid w:val="00900BF9"/>
    <w:rsid w:val="00953B68"/>
    <w:rsid w:val="00973386"/>
    <w:rsid w:val="009A6786"/>
    <w:rsid w:val="00A062AC"/>
    <w:rsid w:val="00A12100"/>
    <w:rsid w:val="00A7221F"/>
    <w:rsid w:val="00AB6EF8"/>
    <w:rsid w:val="00AC2F9A"/>
    <w:rsid w:val="00AF7172"/>
    <w:rsid w:val="00BB7A17"/>
    <w:rsid w:val="00BF1DEB"/>
    <w:rsid w:val="00C0060B"/>
    <w:rsid w:val="00C01F62"/>
    <w:rsid w:val="00C07AB5"/>
    <w:rsid w:val="00C16CF3"/>
    <w:rsid w:val="00C61274"/>
    <w:rsid w:val="00CF0170"/>
    <w:rsid w:val="00D1792B"/>
    <w:rsid w:val="00D25160"/>
    <w:rsid w:val="00DC5705"/>
    <w:rsid w:val="00DD3107"/>
    <w:rsid w:val="00E06902"/>
    <w:rsid w:val="00E618A6"/>
    <w:rsid w:val="00E639AF"/>
    <w:rsid w:val="00F516FE"/>
    <w:rsid w:val="00F90950"/>
    <w:rsid w:val="00FA2DB9"/>
    <w:rsid w:val="00FB52AE"/>
    <w:rsid w:val="00FF5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14C1"/>
  <w15:docId w15:val="{8135767C-5292-486C-A744-D70CD878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521C58"/>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521C58"/>
    <w:pPr>
      <w:ind w:left="720"/>
      <w:contextualSpacing/>
    </w:pPr>
  </w:style>
  <w:style w:type="character" w:styleId="Hyperlink">
    <w:name w:val="Hyperlink"/>
    <w:basedOn w:val="Fontepargpadro"/>
    <w:uiPriority w:val="99"/>
    <w:unhideWhenUsed/>
    <w:rsid w:val="00F6742B"/>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HiperlinkVisitado">
    <w:name w:val="FollowedHyperlink"/>
    <w:basedOn w:val="Fontepargpadro"/>
    <w:uiPriority w:val="99"/>
    <w:semiHidden/>
    <w:unhideWhenUsed/>
    <w:rsid w:val="007229CF"/>
    <w:rPr>
      <w:color w:val="954F72" w:themeColor="followedHyperlink"/>
      <w:u w:val="single"/>
    </w:rPr>
  </w:style>
  <w:style w:type="paragraph" w:styleId="Cabealho">
    <w:name w:val="header"/>
    <w:basedOn w:val="Normal"/>
    <w:link w:val="CabealhoChar"/>
    <w:uiPriority w:val="99"/>
    <w:unhideWhenUsed/>
    <w:rsid w:val="003058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58AC"/>
  </w:style>
  <w:style w:type="paragraph" w:styleId="Rodap">
    <w:name w:val="footer"/>
    <w:basedOn w:val="Normal"/>
    <w:link w:val="RodapChar"/>
    <w:uiPriority w:val="99"/>
    <w:unhideWhenUsed/>
    <w:rsid w:val="003058AC"/>
    <w:pPr>
      <w:tabs>
        <w:tab w:val="center" w:pos="4252"/>
        <w:tab w:val="right" w:pos="8504"/>
      </w:tabs>
      <w:spacing w:after="0" w:line="240" w:lineRule="auto"/>
    </w:pPr>
  </w:style>
  <w:style w:type="character" w:customStyle="1" w:styleId="RodapChar">
    <w:name w:val="Rodapé Char"/>
    <w:basedOn w:val="Fontepargpadro"/>
    <w:link w:val="Rodap"/>
    <w:uiPriority w:val="99"/>
    <w:rsid w:val="003058AC"/>
  </w:style>
  <w:style w:type="character" w:styleId="MenoPendente">
    <w:name w:val="Unresolved Mention"/>
    <w:basedOn w:val="Fontepargpadro"/>
    <w:uiPriority w:val="99"/>
    <w:semiHidden/>
    <w:unhideWhenUsed/>
    <w:rsid w:val="0055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4321">
      <w:bodyDiv w:val="1"/>
      <w:marLeft w:val="0"/>
      <w:marRight w:val="0"/>
      <w:marTop w:val="0"/>
      <w:marBottom w:val="0"/>
      <w:divBdr>
        <w:top w:val="none" w:sz="0" w:space="0" w:color="auto"/>
        <w:left w:val="none" w:sz="0" w:space="0" w:color="auto"/>
        <w:bottom w:val="none" w:sz="0" w:space="0" w:color="auto"/>
        <w:right w:val="none" w:sz="0" w:space="0" w:color="auto"/>
      </w:divBdr>
    </w:div>
    <w:div w:id="1055931742">
      <w:bodyDiv w:val="1"/>
      <w:marLeft w:val="0"/>
      <w:marRight w:val="0"/>
      <w:marTop w:val="0"/>
      <w:marBottom w:val="0"/>
      <w:divBdr>
        <w:top w:val="none" w:sz="0" w:space="0" w:color="auto"/>
        <w:left w:val="none" w:sz="0" w:space="0" w:color="auto"/>
        <w:bottom w:val="none" w:sz="0" w:space="0" w:color="auto"/>
        <w:right w:val="none" w:sz="0" w:space="0" w:color="auto"/>
      </w:divBdr>
    </w:div>
    <w:div w:id="1164079516">
      <w:bodyDiv w:val="1"/>
      <w:marLeft w:val="0"/>
      <w:marRight w:val="0"/>
      <w:marTop w:val="0"/>
      <w:marBottom w:val="0"/>
      <w:divBdr>
        <w:top w:val="none" w:sz="0" w:space="0" w:color="auto"/>
        <w:left w:val="none" w:sz="0" w:space="0" w:color="auto"/>
        <w:bottom w:val="none" w:sz="0" w:space="0" w:color="auto"/>
        <w:right w:val="none" w:sz="0" w:space="0" w:color="auto"/>
      </w:divBdr>
    </w:div>
    <w:div w:id="1414622601">
      <w:bodyDiv w:val="1"/>
      <w:marLeft w:val="0"/>
      <w:marRight w:val="0"/>
      <w:marTop w:val="0"/>
      <w:marBottom w:val="0"/>
      <w:divBdr>
        <w:top w:val="none" w:sz="0" w:space="0" w:color="auto"/>
        <w:left w:val="none" w:sz="0" w:space="0" w:color="auto"/>
        <w:bottom w:val="none" w:sz="0" w:space="0" w:color="auto"/>
        <w:right w:val="none" w:sz="0" w:space="0" w:color="auto"/>
      </w:divBdr>
      <w:divsChild>
        <w:div w:id="1291786489">
          <w:marLeft w:val="0"/>
          <w:marRight w:val="0"/>
          <w:marTop w:val="0"/>
          <w:marBottom w:val="0"/>
          <w:divBdr>
            <w:top w:val="none" w:sz="0" w:space="0" w:color="auto"/>
            <w:left w:val="none" w:sz="0" w:space="0" w:color="auto"/>
            <w:bottom w:val="none" w:sz="0" w:space="0" w:color="auto"/>
            <w:right w:val="none" w:sz="0" w:space="0" w:color="auto"/>
          </w:divBdr>
        </w:div>
        <w:div w:id="468206699">
          <w:marLeft w:val="0"/>
          <w:marRight w:val="0"/>
          <w:marTop w:val="0"/>
          <w:marBottom w:val="0"/>
          <w:divBdr>
            <w:top w:val="none" w:sz="0" w:space="0" w:color="auto"/>
            <w:left w:val="none" w:sz="0" w:space="0" w:color="auto"/>
            <w:bottom w:val="none" w:sz="0" w:space="0" w:color="auto"/>
            <w:right w:val="none" w:sz="0" w:space="0" w:color="auto"/>
          </w:divBdr>
        </w:div>
      </w:divsChild>
    </w:div>
    <w:div w:id="1485776728">
      <w:bodyDiv w:val="1"/>
      <w:marLeft w:val="0"/>
      <w:marRight w:val="0"/>
      <w:marTop w:val="0"/>
      <w:marBottom w:val="0"/>
      <w:divBdr>
        <w:top w:val="none" w:sz="0" w:space="0" w:color="auto"/>
        <w:left w:val="none" w:sz="0" w:space="0" w:color="auto"/>
        <w:bottom w:val="none" w:sz="0" w:space="0" w:color="auto"/>
        <w:right w:val="none" w:sz="0" w:space="0" w:color="auto"/>
      </w:divBdr>
    </w:div>
    <w:div w:id="207253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ndiai.sp.gov.br/servicos-online/segunda-via-da-parcela-do-ip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ndiai.sp.gov.br/servicos-online/segunda-via-da-parcela-do-iptu/" TargetMode="External"/><Relationship Id="rId5" Type="http://schemas.openxmlformats.org/officeDocument/2006/relationships/webSettings" Target="webSettings.xml"/><Relationship Id="rId10" Type="http://schemas.openxmlformats.org/officeDocument/2006/relationships/hyperlink" Target="https://jundiai.sp.gov.br/servicos-online/segunda-via-da-parcela-do-iptu/" TargetMode="External"/><Relationship Id="rId4" Type="http://schemas.openxmlformats.org/officeDocument/2006/relationships/settings" Target="settings.xml"/><Relationship Id="rId9" Type="http://schemas.openxmlformats.org/officeDocument/2006/relationships/hyperlink" Target="http://www.jundiai.sp.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O++PrvZMvXpa+C0rlcuIXSSKg==">AMUW2mWHYFm8sMSI7Pj8/Qdo6QMHaTNPOZhOLyn5uboY7cQcaJTMF3v+GELkn35uVyNZ4OaMByQqIwqrQCoD8Tm2sAcexI583qeFlgygTDDlmcyzh2HPYOZODGJv+daRAYPxByszE6U5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1656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Cergol Spina</dc:creator>
  <cp:lastModifiedBy>Gabriela Cergol Spina</cp:lastModifiedBy>
  <cp:revision>4</cp:revision>
  <dcterms:created xsi:type="dcterms:W3CDTF">2023-01-10T12:50:00Z</dcterms:created>
  <dcterms:modified xsi:type="dcterms:W3CDTF">2023-01-10T13:42:00Z</dcterms:modified>
</cp:coreProperties>
</file>