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F6" w:rsidRDefault="005E5FF6" w:rsidP="005E5FF6">
      <w:pPr>
        <w:autoSpaceDE w:val="0"/>
        <w:spacing w:after="200" w:line="360" w:lineRule="auto"/>
        <w:contextualSpacing/>
        <w:jc w:val="both"/>
        <w:rPr>
          <w:rFonts w:ascii="Arial" w:hAnsi="Arial" w:cs="Arial"/>
          <w:b/>
          <w:bCs/>
          <w:sz w:val="22"/>
          <w:szCs w:val="22"/>
        </w:rPr>
      </w:pPr>
      <w:r>
        <w:rPr>
          <w:rFonts w:ascii="Arial" w:hAnsi="Arial" w:cs="Arial"/>
          <w:b/>
          <w:bCs/>
          <w:sz w:val="22"/>
          <w:szCs w:val="22"/>
        </w:rPr>
        <w:t>Parte 2</w:t>
      </w:r>
    </w:p>
    <w:p w:rsidR="00A61DD3" w:rsidRDefault="00A61DD3" w:rsidP="005E5FF6">
      <w:pPr>
        <w:autoSpaceDE w:val="0"/>
        <w:spacing w:after="200" w:line="360" w:lineRule="auto"/>
        <w:contextualSpacing/>
        <w:jc w:val="both"/>
        <w:rPr>
          <w:rFonts w:ascii="Arial" w:hAnsi="Arial" w:cs="Arial"/>
          <w:b/>
          <w:bCs/>
          <w:sz w:val="22"/>
          <w:szCs w:val="22"/>
        </w:rPr>
      </w:pPr>
    </w:p>
    <w:p w:rsidR="005E5FF6" w:rsidRDefault="00A61DD3" w:rsidP="005E5FF6">
      <w:pPr>
        <w:autoSpaceDE w:val="0"/>
        <w:spacing w:after="200" w:line="360" w:lineRule="auto"/>
        <w:contextualSpacing/>
        <w:jc w:val="both"/>
        <w:rPr>
          <w:rFonts w:ascii="Arial" w:eastAsia="Calibri" w:hAnsi="Arial" w:cs="Arial"/>
          <w:b/>
          <w:bCs/>
          <w:color w:val="000000"/>
          <w:sz w:val="22"/>
          <w:szCs w:val="22"/>
          <w:u w:val="single"/>
          <w:lang w:eastAsia="en-US"/>
        </w:rPr>
      </w:pPr>
      <w:r w:rsidRPr="00875D90">
        <w:rPr>
          <w:rFonts w:ascii="Arial" w:eastAsia="Calibri" w:hAnsi="Arial" w:cs="Arial"/>
          <w:b/>
          <w:bCs/>
          <w:color w:val="000000"/>
          <w:sz w:val="22"/>
          <w:szCs w:val="22"/>
          <w:highlight w:val="lightGray"/>
          <w:u w:val="single"/>
          <w:lang w:eastAsia="en-US"/>
        </w:rPr>
        <w:t>Para Uso Residencial - Habitação multifamiliar vertical e horizontal:</w:t>
      </w:r>
    </w:p>
    <w:p w:rsidR="00A61DD3" w:rsidRDefault="00A61DD3" w:rsidP="005E5FF6">
      <w:pPr>
        <w:autoSpaceDE w:val="0"/>
        <w:spacing w:after="200" w:line="360" w:lineRule="auto"/>
        <w:contextualSpacing/>
        <w:jc w:val="both"/>
        <w:rPr>
          <w:rFonts w:ascii="Arial" w:hAnsi="Arial" w:cs="Arial"/>
          <w:b/>
          <w:bCs/>
          <w:sz w:val="22"/>
          <w:szCs w:val="22"/>
        </w:rPr>
      </w:pPr>
    </w:p>
    <w:p w:rsidR="00C96799" w:rsidRPr="00BC1E93" w:rsidRDefault="00C96799" w:rsidP="00C96799">
      <w:pPr>
        <w:autoSpaceDE w:val="0"/>
        <w:spacing w:after="200" w:line="360" w:lineRule="auto"/>
        <w:contextualSpacing/>
        <w:jc w:val="both"/>
        <w:rPr>
          <w:rFonts w:ascii="Arial" w:hAnsi="Arial" w:cs="Arial"/>
          <w:b/>
          <w:bCs/>
          <w:color w:val="000000"/>
          <w:sz w:val="22"/>
          <w:szCs w:val="22"/>
        </w:rPr>
      </w:pPr>
      <w:r>
        <w:rPr>
          <w:rFonts w:ascii="Arial" w:hAnsi="Arial" w:cs="Arial"/>
          <w:b/>
          <w:bCs/>
          <w:color w:val="000000"/>
          <w:sz w:val="22"/>
          <w:szCs w:val="22"/>
        </w:rPr>
        <w:t xml:space="preserve">8. </w:t>
      </w:r>
      <w:r w:rsidRPr="00BC1E93">
        <w:rPr>
          <w:rFonts w:ascii="Arial" w:hAnsi="Arial" w:cs="Arial"/>
          <w:b/>
          <w:bCs/>
          <w:color w:val="000000"/>
          <w:sz w:val="22"/>
          <w:szCs w:val="22"/>
        </w:rPr>
        <w:t>Avaliação dos impactos:</w:t>
      </w:r>
    </w:p>
    <w:p w:rsidR="00C96799" w:rsidRPr="00BC1E93" w:rsidRDefault="00C96799" w:rsidP="00C96799">
      <w:pPr>
        <w:autoSpaceDE w:val="0"/>
        <w:spacing w:line="360" w:lineRule="auto"/>
        <w:ind w:left="284" w:hanging="284"/>
        <w:contextualSpacing/>
        <w:jc w:val="both"/>
        <w:rPr>
          <w:rFonts w:ascii="Arial" w:hAnsi="Arial" w:cs="Arial"/>
          <w:b/>
          <w:bCs/>
          <w:color w:val="000000"/>
          <w:sz w:val="22"/>
          <w:szCs w:val="22"/>
        </w:rPr>
      </w:pPr>
    </w:p>
    <w:p w:rsidR="00C96799" w:rsidRPr="00BC1E93" w:rsidRDefault="00C96799" w:rsidP="00C96799">
      <w:pPr>
        <w:autoSpaceDE w:val="0"/>
        <w:spacing w:after="200" w:line="360" w:lineRule="auto"/>
        <w:ind w:firstLine="284"/>
        <w:jc w:val="both"/>
        <w:rPr>
          <w:rFonts w:ascii="Arial" w:eastAsia="Calibri" w:hAnsi="Arial" w:cs="Arial"/>
          <w:bCs/>
          <w:color w:val="000000"/>
          <w:sz w:val="22"/>
          <w:szCs w:val="22"/>
          <w:lang w:eastAsia="en-US"/>
        </w:rPr>
      </w:pPr>
      <w:r w:rsidRPr="00BC1E93">
        <w:rPr>
          <w:rFonts w:ascii="Arial" w:eastAsia="Calibri" w:hAnsi="Arial" w:cs="Arial"/>
          <w:bCs/>
          <w:color w:val="000000"/>
          <w:sz w:val="22"/>
          <w:szCs w:val="22"/>
          <w:lang w:eastAsia="en-US"/>
        </w:rPr>
        <w:t>Baseando-se no mapeamento, fotos e dados apresentados nos itens anteriores, descrever as avaliações dos impactos positivos e/ou negativos identificados pela inserção do empreendimento na vizinhança caracterizada sobre os seguintes aspectos:</w:t>
      </w:r>
    </w:p>
    <w:p w:rsidR="00C96799" w:rsidRPr="00BC1E93" w:rsidRDefault="00C96799" w:rsidP="00C96799">
      <w:pPr>
        <w:autoSpaceDE w:val="0"/>
        <w:spacing w:after="200" w:line="360" w:lineRule="auto"/>
        <w:ind w:left="284" w:hanging="284"/>
        <w:jc w:val="both"/>
        <w:rPr>
          <w:rFonts w:ascii="Arial" w:eastAsia="Calibri" w:hAnsi="Arial" w:cs="Arial"/>
          <w:b/>
          <w:bCs/>
          <w:color w:val="000000"/>
          <w:sz w:val="22"/>
          <w:szCs w:val="22"/>
          <w:lang w:eastAsia="en-US"/>
        </w:rPr>
      </w:pPr>
    </w:p>
    <w:p w:rsidR="00C96799" w:rsidRPr="00BC1E93" w:rsidRDefault="00C96799" w:rsidP="00C96799">
      <w:pPr>
        <w:numPr>
          <w:ilvl w:val="1"/>
          <w:numId w:val="9"/>
        </w:numPr>
        <w:autoSpaceDE w:val="0"/>
        <w:spacing w:after="200" w:line="360" w:lineRule="auto"/>
        <w:ind w:left="284" w:hanging="284"/>
        <w:contextualSpacing/>
        <w:jc w:val="both"/>
        <w:rPr>
          <w:rFonts w:ascii="Arial" w:hAnsi="Arial" w:cs="Arial"/>
          <w:b/>
          <w:bCs/>
          <w:color w:val="000000"/>
          <w:sz w:val="22"/>
          <w:szCs w:val="22"/>
        </w:rPr>
      </w:pPr>
      <w:r w:rsidRPr="00BC1E93">
        <w:rPr>
          <w:rFonts w:ascii="Arial" w:hAnsi="Arial" w:cs="Arial"/>
          <w:b/>
          <w:bCs/>
          <w:color w:val="000000"/>
          <w:sz w:val="22"/>
          <w:szCs w:val="22"/>
        </w:rPr>
        <w:t>Na fase de obra e implantação do empreendimento:</w:t>
      </w:r>
    </w:p>
    <w:p w:rsidR="00C96799" w:rsidRPr="00BC1E93" w:rsidRDefault="00C96799" w:rsidP="00C96799">
      <w:pPr>
        <w:autoSpaceDE w:val="0"/>
        <w:spacing w:after="200" w:line="360" w:lineRule="auto"/>
        <w:ind w:left="284" w:hanging="284"/>
        <w:jc w:val="both"/>
        <w:rPr>
          <w:rFonts w:ascii="Arial" w:eastAsia="Calibri" w:hAnsi="Arial" w:cs="Arial"/>
          <w:b/>
          <w:bCs/>
          <w:color w:val="000000"/>
          <w:sz w:val="22"/>
          <w:szCs w:val="22"/>
          <w:lang w:eastAsia="en-US"/>
        </w:rPr>
      </w:pPr>
    </w:p>
    <w:p w:rsidR="00C96799" w:rsidRPr="00BC1E93" w:rsidRDefault="00C96799" w:rsidP="00C96799">
      <w:pPr>
        <w:numPr>
          <w:ilvl w:val="0"/>
          <w:numId w:val="7"/>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 xml:space="preserve">Equipamentos públicos em caso de alocação dos operários na região do empreendimento (sistema de saúde, segurança pública, sistema de educação quando a alocação dos operários inclui a vinda da família, habitacional no aumento da demanda da prestação do serviço em caso </w:t>
      </w:r>
      <w:proofErr w:type="gramStart"/>
      <w:r w:rsidRPr="00BC1E93">
        <w:rPr>
          <w:rFonts w:ascii="Arial" w:hAnsi="Arial" w:cs="Arial"/>
          <w:bCs/>
          <w:color w:val="000000"/>
          <w:sz w:val="22"/>
          <w:szCs w:val="22"/>
        </w:rPr>
        <w:t>do</w:t>
      </w:r>
      <w:proofErr w:type="gramEnd"/>
      <w:r w:rsidRPr="00BC1E93">
        <w:rPr>
          <w:rFonts w:ascii="Arial" w:hAnsi="Arial" w:cs="Arial"/>
          <w:bCs/>
          <w:color w:val="000000"/>
          <w:sz w:val="22"/>
          <w:szCs w:val="22"/>
        </w:rPr>
        <w:t xml:space="preserve"> retorno a sua origem não ocorrer); </w:t>
      </w:r>
    </w:p>
    <w:p w:rsidR="00C96799" w:rsidRPr="00BC1E93" w:rsidRDefault="00C96799" w:rsidP="00C96799">
      <w:pPr>
        <w:numPr>
          <w:ilvl w:val="0"/>
          <w:numId w:val="7"/>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 xml:space="preserve">Infraestrutura urbana (escoamento das águas pluviais na fase da obra, </w:t>
      </w:r>
      <w:proofErr w:type="gramStart"/>
      <w:r w:rsidRPr="00BC1E93">
        <w:rPr>
          <w:rFonts w:ascii="Arial" w:hAnsi="Arial" w:cs="Arial"/>
          <w:bCs/>
          <w:color w:val="000000"/>
          <w:sz w:val="22"/>
          <w:szCs w:val="22"/>
        </w:rPr>
        <w:t>esgotamento</w:t>
      </w:r>
      <w:proofErr w:type="gramEnd"/>
      <w:r w:rsidRPr="00BC1E93">
        <w:rPr>
          <w:rFonts w:ascii="Arial" w:hAnsi="Arial" w:cs="Arial"/>
          <w:bCs/>
          <w:color w:val="000000"/>
          <w:sz w:val="22"/>
          <w:szCs w:val="22"/>
        </w:rPr>
        <w:t xml:space="preserve"> sanitário e abastecimento de água potável no canteiro de obras, energia elétrica, vias públicas afetadas pela obra);</w:t>
      </w:r>
    </w:p>
    <w:p w:rsidR="00C96799" w:rsidRPr="00BC1E93" w:rsidRDefault="00C96799" w:rsidP="00C96799">
      <w:pPr>
        <w:numPr>
          <w:ilvl w:val="0"/>
          <w:numId w:val="7"/>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Meio ambiente (grau de movimentação de terra, tecnologias construtivas, sistemas de sustentabilidade na obra);</w:t>
      </w:r>
    </w:p>
    <w:p w:rsidR="00C96799" w:rsidRPr="00BC1E93" w:rsidRDefault="00C96799" w:rsidP="00C96799">
      <w:pPr>
        <w:numPr>
          <w:ilvl w:val="0"/>
          <w:numId w:val="7"/>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color w:val="000000"/>
          <w:sz w:val="22"/>
          <w:szCs w:val="22"/>
        </w:rPr>
        <w:t>Bens tombados patrimoniais, edificados e naturais (cuidados durante a fase da obra aos bens identificados)</w:t>
      </w:r>
      <w:r w:rsidRPr="00BC1E93">
        <w:rPr>
          <w:rFonts w:ascii="Arial" w:hAnsi="Arial" w:cs="Arial"/>
          <w:bCs/>
          <w:color w:val="000000"/>
          <w:sz w:val="22"/>
          <w:szCs w:val="22"/>
        </w:rPr>
        <w:t>;</w:t>
      </w:r>
    </w:p>
    <w:p w:rsidR="00C96799" w:rsidRPr="00BC1E93" w:rsidRDefault="00C96799" w:rsidP="00C96799">
      <w:pPr>
        <w:numPr>
          <w:ilvl w:val="0"/>
          <w:numId w:val="7"/>
        </w:numPr>
        <w:spacing w:after="200" w:line="360" w:lineRule="auto"/>
        <w:ind w:left="567" w:hanging="283"/>
        <w:contextualSpacing/>
        <w:jc w:val="both"/>
        <w:rPr>
          <w:rFonts w:ascii="Arial" w:hAnsi="Arial" w:cs="Arial"/>
          <w:sz w:val="22"/>
          <w:szCs w:val="22"/>
        </w:rPr>
      </w:pPr>
      <w:proofErr w:type="spellStart"/>
      <w:r w:rsidRPr="00BC1E93">
        <w:rPr>
          <w:rFonts w:ascii="Arial" w:hAnsi="Arial" w:cs="Arial"/>
          <w:bCs/>
          <w:color w:val="000000"/>
          <w:sz w:val="22"/>
          <w:szCs w:val="22"/>
        </w:rPr>
        <w:t>Sócioeconômicos</w:t>
      </w:r>
      <w:proofErr w:type="spellEnd"/>
      <w:r w:rsidRPr="00BC1E93">
        <w:rPr>
          <w:rFonts w:ascii="Arial" w:hAnsi="Arial" w:cs="Arial"/>
          <w:bCs/>
          <w:color w:val="000000"/>
          <w:sz w:val="22"/>
          <w:szCs w:val="22"/>
        </w:rPr>
        <w:t xml:space="preserve"> (</w:t>
      </w:r>
      <w:r w:rsidRPr="00BC1E93">
        <w:rPr>
          <w:rFonts w:ascii="Arial" w:hAnsi="Arial" w:cs="Arial"/>
          <w:color w:val="000000"/>
          <w:sz w:val="22"/>
          <w:szCs w:val="22"/>
        </w:rPr>
        <w:t>atração de pessoas, oferta de trabalho)</w:t>
      </w:r>
      <w:r w:rsidRPr="00BC1E93">
        <w:rPr>
          <w:rFonts w:ascii="Arial" w:hAnsi="Arial" w:cs="Arial"/>
          <w:bCs/>
          <w:color w:val="000000"/>
          <w:sz w:val="22"/>
          <w:szCs w:val="22"/>
        </w:rPr>
        <w:t>;</w:t>
      </w:r>
    </w:p>
    <w:p w:rsidR="00C96799" w:rsidRPr="00BC1E93" w:rsidRDefault="00C96799" w:rsidP="00C96799">
      <w:pPr>
        <w:numPr>
          <w:ilvl w:val="0"/>
          <w:numId w:val="7"/>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Qualidade do ar (suspensão de poeira, impactos de tecnologias construtivas utilizadas);</w:t>
      </w:r>
    </w:p>
    <w:p w:rsidR="00C96799" w:rsidRPr="00BC1E93" w:rsidRDefault="00C96799" w:rsidP="00C96799">
      <w:pPr>
        <w:numPr>
          <w:ilvl w:val="0"/>
          <w:numId w:val="7"/>
        </w:numPr>
        <w:autoSpaceDE w:val="0"/>
        <w:spacing w:after="200" w:line="360" w:lineRule="auto"/>
        <w:ind w:left="567" w:hanging="283"/>
        <w:contextualSpacing/>
        <w:jc w:val="both"/>
        <w:rPr>
          <w:rFonts w:ascii="Arial" w:hAnsi="Arial" w:cs="Arial"/>
          <w:color w:val="000000"/>
          <w:sz w:val="22"/>
          <w:szCs w:val="22"/>
        </w:rPr>
      </w:pPr>
      <w:r w:rsidRPr="00BC1E93">
        <w:rPr>
          <w:rFonts w:ascii="Arial" w:hAnsi="Arial" w:cs="Arial"/>
          <w:color w:val="000000"/>
          <w:sz w:val="22"/>
          <w:szCs w:val="22"/>
        </w:rPr>
        <w:t>Ruído (equipamentos utilizados na fase da obra, grau de exposição da vizinhança a esses ruídos e por quanto tempo, horário de realização das obras);</w:t>
      </w:r>
    </w:p>
    <w:p w:rsidR="00C96799" w:rsidRDefault="00C96799" w:rsidP="00C96799">
      <w:pPr>
        <w:numPr>
          <w:ilvl w:val="0"/>
          <w:numId w:val="7"/>
        </w:numPr>
        <w:autoSpaceDE w:val="0"/>
        <w:spacing w:after="200" w:line="360" w:lineRule="auto"/>
        <w:ind w:left="567" w:hanging="283"/>
        <w:contextualSpacing/>
        <w:jc w:val="both"/>
        <w:rPr>
          <w:rFonts w:ascii="Arial" w:hAnsi="Arial" w:cs="Arial"/>
          <w:color w:val="000000"/>
          <w:sz w:val="22"/>
          <w:szCs w:val="22"/>
        </w:rPr>
      </w:pPr>
      <w:r w:rsidRPr="00BC1E93">
        <w:rPr>
          <w:rFonts w:ascii="Arial" w:hAnsi="Arial" w:cs="Arial"/>
          <w:color w:val="000000"/>
          <w:sz w:val="22"/>
          <w:szCs w:val="22"/>
        </w:rPr>
        <w:t>Geração de resíduos (tratamento dos resíduos e destinação, alternativas de sustentabilidade);</w:t>
      </w:r>
    </w:p>
    <w:p w:rsidR="00875D90" w:rsidRDefault="00875D90" w:rsidP="00875D90">
      <w:pPr>
        <w:autoSpaceDE w:val="0"/>
        <w:spacing w:after="200" w:line="360" w:lineRule="auto"/>
        <w:ind w:left="567"/>
        <w:contextualSpacing/>
        <w:jc w:val="both"/>
        <w:rPr>
          <w:rFonts w:ascii="Arial" w:hAnsi="Arial" w:cs="Arial"/>
          <w:color w:val="000000"/>
          <w:sz w:val="22"/>
          <w:szCs w:val="22"/>
        </w:rPr>
      </w:pPr>
    </w:p>
    <w:p w:rsidR="00875D90" w:rsidRPr="00BC1E93" w:rsidRDefault="00875D90" w:rsidP="00875D90">
      <w:pPr>
        <w:autoSpaceDE w:val="0"/>
        <w:spacing w:after="200" w:line="360" w:lineRule="auto"/>
        <w:ind w:left="567"/>
        <w:contextualSpacing/>
        <w:jc w:val="both"/>
        <w:rPr>
          <w:rFonts w:ascii="Arial" w:hAnsi="Arial" w:cs="Arial"/>
          <w:color w:val="000000"/>
          <w:sz w:val="22"/>
          <w:szCs w:val="22"/>
        </w:rPr>
      </w:pPr>
    </w:p>
    <w:p w:rsidR="00C96799" w:rsidRPr="00BC1E93" w:rsidRDefault="00C96799" w:rsidP="00C96799">
      <w:pPr>
        <w:autoSpaceDE w:val="0"/>
        <w:spacing w:line="360" w:lineRule="auto"/>
        <w:ind w:left="1494"/>
        <w:contextualSpacing/>
        <w:jc w:val="both"/>
        <w:rPr>
          <w:rFonts w:ascii="Arial" w:hAnsi="Arial" w:cs="Arial"/>
          <w:color w:val="000000"/>
          <w:sz w:val="22"/>
          <w:szCs w:val="22"/>
        </w:rPr>
      </w:pPr>
    </w:p>
    <w:p w:rsidR="00C96799" w:rsidRDefault="00C96799" w:rsidP="00C96799">
      <w:pPr>
        <w:numPr>
          <w:ilvl w:val="1"/>
          <w:numId w:val="9"/>
        </w:numPr>
        <w:autoSpaceDE w:val="0"/>
        <w:spacing w:after="200" w:line="360" w:lineRule="auto"/>
        <w:ind w:left="284" w:hanging="284"/>
        <w:contextualSpacing/>
        <w:jc w:val="both"/>
        <w:rPr>
          <w:rFonts w:ascii="Arial" w:hAnsi="Arial" w:cs="Arial"/>
          <w:b/>
          <w:bCs/>
          <w:color w:val="000000"/>
          <w:sz w:val="22"/>
          <w:szCs w:val="22"/>
        </w:rPr>
      </w:pPr>
      <w:r w:rsidRPr="00BC1E93">
        <w:rPr>
          <w:rFonts w:ascii="Arial" w:hAnsi="Arial" w:cs="Arial"/>
          <w:b/>
          <w:bCs/>
          <w:color w:val="000000"/>
          <w:sz w:val="22"/>
          <w:szCs w:val="22"/>
        </w:rPr>
        <w:lastRenderedPageBreak/>
        <w:t>Com a presença do empreendimento ocupado:</w:t>
      </w:r>
    </w:p>
    <w:p w:rsidR="00875D90" w:rsidRPr="00875D90" w:rsidRDefault="00875D90" w:rsidP="00875D90">
      <w:pPr>
        <w:autoSpaceDE w:val="0"/>
        <w:spacing w:after="200" w:line="360" w:lineRule="auto"/>
        <w:ind w:left="284"/>
        <w:contextualSpacing/>
        <w:jc w:val="both"/>
        <w:rPr>
          <w:rFonts w:ascii="Arial" w:hAnsi="Arial" w:cs="Arial"/>
          <w:b/>
          <w:bCs/>
          <w:color w:val="000000"/>
          <w:sz w:val="22"/>
          <w:szCs w:val="22"/>
        </w:rPr>
      </w:pPr>
    </w:p>
    <w:p w:rsidR="00C96799" w:rsidRPr="00BC1E93" w:rsidRDefault="00C96799" w:rsidP="00C96799">
      <w:pPr>
        <w:numPr>
          <w:ilvl w:val="0"/>
          <w:numId w:val="8"/>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Adensamento populacional (quantitativo do incremento, comparativos);</w:t>
      </w:r>
    </w:p>
    <w:p w:rsidR="00C96799" w:rsidRPr="00BC1E93" w:rsidRDefault="00C96799" w:rsidP="00C96799">
      <w:pPr>
        <w:numPr>
          <w:ilvl w:val="0"/>
          <w:numId w:val="8"/>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 xml:space="preserve">Equipamentos públicos (novas demandas ao sistema de educação, sistema de saúde, avaliar distâncias percorridas até esses equipamentos se demandam utilização de sistemas de transporte, impactos no sistema de segurança pública, oferta de áreas de lazer públicas, espaços culturais, etc.); </w:t>
      </w:r>
    </w:p>
    <w:p w:rsidR="00C96799" w:rsidRPr="00BC1E93" w:rsidRDefault="00C96799" w:rsidP="00C96799">
      <w:pPr>
        <w:numPr>
          <w:ilvl w:val="0"/>
          <w:numId w:val="8"/>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Capacidade da Infraestrutura urbana (impactos sobre os sistemas de fornecimento de água potável, esgotamento sanitário, energia elétrica, iluminação pública presente ou não, escoamento das águas pluviais, existência e condições das vias e calçadas de circulação);</w:t>
      </w:r>
    </w:p>
    <w:p w:rsidR="00C96799" w:rsidRPr="00BC1E93" w:rsidRDefault="00C96799" w:rsidP="00C96799">
      <w:pPr>
        <w:numPr>
          <w:ilvl w:val="0"/>
          <w:numId w:val="8"/>
        </w:numPr>
        <w:spacing w:after="200" w:line="360" w:lineRule="auto"/>
        <w:ind w:left="567" w:hanging="283"/>
        <w:contextualSpacing/>
        <w:jc w:val="both"/>
        <w:rPr>
          <w:rFonts w:ascii="Arial" w:hAnsi="Arial" w:cs="Arial"/>
          <w:sz w:val="22"/>
          <w:szCs w:val="22"/>
        </w:rPr>
      </w:pPr>
      <w:proofErr w:type="spellStart"/>
      <w:r w:rsidRPr="00BC1E93">
        <w:rPr>
          <w:rFonts w:ascii="Arial" w:hAnsi="Arial" w:cs="Arial"/>
          <w:bCs/>
          <w:color w:val="000000"/>
          <w:sz w:val="22"/>
          <w:szCs w:val="22"/>
        </w:rPr>
        <w:t>Sócioeconômicos</w:t>
      </w:r>
      <w:proofErr w:type="spellEnd"/>
      <w:r w:rsidRPr="00BC1E93">
        <w:rPr>
          <w:rFonts w:ascii="Arial" w:hAnsi="Arial" w:cs="Arial"/>
          <w:bCs/>
          <w:color w:val="000000"/>
          <w:sz w:val="22"/>
          <w:szCs w:val="22"/>
        </w:rPr>
        <w:t xml:space="preserve"> (verificação da existência de </w:t>
      </w:r>
      <w:r w:rsidRPr="00BC1E93">
        <w:rPr>
          <w:rFonts w:ascii="Arial" w:hAnsi="Arial" w:cs="Arial"/>
          <w:color w:val="000000"/>
          <w:sz w:val="22"/>
          <w:szCs w:val="22"/>
        </w:rPr>
        <w:t>estratificação social, quantidade e qualidade dos postos de trabalho gerados, atração de novos usos comerciais e serviços – influência na alteração dos usos e ocupação do solo em função da chegada do empreendimento)</w:t>
      </w:r>
      <w:r w:rsidRPr="00BC1E93">
        <w:rPr>
          <w:rFonts w:ascii="Arial" w:hAnsi="Arial" w:cs="Arial"/>
          <w:bCs/>
          <w:color w:val="000000"/>
          <w:sz w:val="22"/>
          <w:szCs w:val="22"/>
        </w:rPr>
        <w:t>;</w:t>
      </w:r>
    </w:p>
    <w:p w:rsidR="00C96799" w:rsidRPr="00BC1E93" w:rsidRDefault="00C96799" w:rsidP="00C96799">
      <w:pPr>
        <w:numPr>
          <w:ilvl w:val="0"/>
          <w:numId w:val="8"/>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Ventilação e iluminação (avaliação da disposição das edificações, sua influência na alteração dos cursos dos ventos, avaliação sobre o sombreamento gerado pelo empreendimento na vizinhança);</w:t>
      </w:r>
    </w:p>
    <w:p w:rsidR="00C96799" w:rsidRPr="00BC1E93" w:rsidRDefault="00C96799" w:rsidP="00C96799">
      <w:pPr>
        <w:numPr>
          <w:ilvl w:val="0"/>
          <w:numId w:val="8"/>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Valorização imobiliária (influência na valorização ou desvalorização com a presença do empreendimento);</w:t>
      </w:r>
    </w:p>
    <w:p w:rsidR="00C96799" w:rsidRPr="00BC1E93" w:rsidRDefault="00C96799" w:rsidP="00C96799">
      <w:pPr>
        <w:numPr>
          <w:ilvl w:val="0"/>
          <w:numId w:val="8"/>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Paisagem urbana e alterações tipológicas e na morfologia urbana (impactos em decorrência do porte, materiais construtivos no acabamento, tipologias adotadas, relação entre as áreas adensadas e os esp</w:t>
      </w:r>
      <w:r>
        <w:rPr>
          <w:rFonts w:ascii="Arial" w:hAnsi="Arial" w:cs="Arial"/>
          <w:bCs/>
          <w:color w:val="000000"/>
          <w:sz w:val="22"/>
          <w:szCs w:val="22"/>
        </w:rPr>
        <w:t>aços livres, arborização urbana e</w:t>
      </w:r>
      <w:r w:rsidRPr="00BC1E93">
        <w:rPr>
          <w:rFonts w:ascii="Arial" w:hAnsi="Arial" w:cs="Arial"/>
          <w:bCs/>
          <w:color w:val="000000"/>
          <w:sz w:val="22"/>
          <w:szCs w:val="22"/>
        </w:rPr>
        <w:t xml:space="preserve"> poluição visual);</w:t>
      </w:r>
    </w:p>
    <w:p w:rsidR="00C96799" w:rsidRPr="00BC1E93" w:rsidRDefault="00C96799" w:rsidP="00C96799">
      <w:pPr>
        <w:numPr>
          <w:ilvl w:val="0"/>
          <w:numId w:val="8"/>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Ambientais (impactos relativos a impermeabilização do solo, lençol fr</w:t>
      </w:r>
      <w:r>
        <w:rPr>
          <w:rFonts w:ascii="Arial" w:hAnsi="Arial" w:cs="Arial"/>
          <w:bCs/>
          <w:color w:val="000000"/>
          <w:sz w:val="22"/>
          <w:szCs w:val="22"/>
        </w:rPr>
        <w:t>eático, remoção de áreas verdes e</w:t>
      </w:r>
      <w:r w:rsidRPr="00BC1E93">
        <w:rPr>
          <w:rFonts w:ascii="Arial" w:hAnsi="Arial" w:cs="Arial"/>
          <w:bCs/>
          <w:color w:val="000000"/>
          <w:sz w:val="22"/>
          <w:szCs w:val="22"/>
        </w:rPr>
        <w:t xml:space="preserve"> qualidade do ar);</w:t>
      </w:r>
    </w:p>
    <w:p w:rsidR="00C96799" w:rsidRPr="00BC1E93" w:rsidRDefault="00C96799" w:rsidP="00C96799">
      <w:pPr>
        <w:numPr>
          <w:ilvl w:val="0"/>
          <w:numId w:val="8"/>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Patrimônio natural e cultural (impactos sobre os elementos existentes na vizinhança, considerando o significado destes elementos para a população e atividades locais);</w:t>
      </w:r>
    </w:p>
    <w:p w:rsidR="00C96799" w:rsidRPr="00BC1E93" w:rsidRDefault="00C96799" w:rsidP="00C96799">
      <w:pPr>
        <w:numPr>
          <w:ilvl w:val="0"/>
          <w:numId w:val="8"/>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Normas, planos, projetos que incidem sobre a área (impactos cumulativos ou sinérgicos representados por projetos governamentais de melhoramentos urbanos previstos ou em andamento quando houver informação fornecida pela municipalidade, impacto frente a diferente temporalidade da concepção do projeto - lei incidente - com a construção do espaço urbano atual - lei vigente</w:t>
      </w:r>
      <w:r>
        <w:rPr>
          <w:rFonts w:ascii="Arial" w:hAnsi="Arial" w:cs="Arial"/>
          <w:bCs/>
          <w:color w:val="000000"/>
          <w:sz w:val="22"/>
          <w:szCs w:val="22"/>
        </w:rPr>
        <w:t>)</w:t>
      </w:r>
      <w:r w:rsidRPr="00BC1E93">
        <w:rPr>
          <w:rFonts w:ascii="Arial" w:hAnsi="Arial" w:cs="Arial"/>
          <w:bCs/>
          <w:color w:val="000000"/>
          <w:sz w:val="22"/>
          <w:szCs w:val="22"/>
        </w:rPr>
        <w:t>.</w:t>
      </w:r>
    </w:p>
    <w:p w:rsidR="00C96799" w:rsidRDefault="00C96799" w:rsidP="005E5FF6">
      <w:pPr>
        <w:autoSpaceDE w:val="0"/>
        <w:spacing w:after="200" w:line="360" w:lineRule="auto"/>
        <w:contextualSpacing/>
        <w:jc w:val="both"/>
        <w:rPr>
          <w:rFonts w:ascii="Arial" w:hAnsi="Arial" w:cs="Arial"/>
          <w:b/>
          <w:bCs/>
          <w:sz w:val="22"/>
          <w:szCs w:val="22"/>
        </w:rPr>
      </w:pPr>
    </w:p>
    <w:p w:rsidR="00A61DD3" w:rsidRDefault="00A61DD3" w:rsidP="005E5FF6">
      <w:pPr>
        <w:autoSpaceDE w:val="0"/>
        <w:spacing w:after="200" w:line="360" w:lineRule="auto"/>
        <w:contextualSpacing/>
        <w:jc w:val="both"/>
        <w:rPr>
          <w:rFonts w:ascii="Arial" w:hAnsi="Arial" w:cs="Arial"/>
          <w:b/>
          <w:bCs/>
          <w:sz w:val="22"/>
          <w:szCs w:val="22"/>
        </w:rPr>
      </w:pPr>
    </w:p>
    <w:p w:rsidR="00A61DD3" w:rsidRDefault="00A61DD3" w:rsidP="005E5FF6">
      <w:pPr>
        <w:autoSpaceDE w:val="0"/>
        <w:spacing w:after="200" w:line="360" w:lineRule="auto"/>
        <w:contextualSpacing/>
        <w:jc w:val="both"/>
        <w:rPr>
          <w:rFonts w:ascii="Arial" w:hAnsi="Arial" w:cs="Arial"/>
          <w:b/>
          <w:bCs/>
          <w:sz w:val="22"/>
          <w:szCs w:val="22"/>
        </w:rPr>
      </w:pPr>
    </w:p>
    <w:p w:rsidR="00A61DD3" w:rsidRDefault="00A61DD3" w:rsidP="005E5FF6">
      <w:pPr>
        <w:autoSpaceDE w:val="0"/>
        <w:spacing w:after="200" w:line="360" w:lineRule="auto"/>
        <w:contextualSpacing/>
        <w:jc w:val="both"/>
        <w:rPr>
          <w:rFonts w:ascii="Arial" w:hAnsi="Arial" w:cs="Arial"/>
          <w:b/>
          <w:bCs/>
          <w:sz w:val="22"/>
          <w:szCs w:val="22"/>
        </w:rPr>
      </w:pPr>
    </w:p>
    <w:p w:rsidR="00A61DD3" w:rsidRPr="00BC1E93" w:rsidRDefault="00A61DD3" w:rsidP="00A61DD3">
      <w:pPr>
        <w:autoSpaceDE w:val="0"/>
        <w:spacing w:after="200" w:line="360" w:lineRule="auto"/>
        <w:jc w:val="both"/>
        <w:rPr>
          <w:rFonts w:ascii="Arial" w:eastAsia="Calibri" w:hAnsi="Arial" w:cs="Arial"/>
          <w:b/>
          <w:bCs/>
          <w:color w:val="000000"/>
          <w:sz w:val="22"/>
          <w:szCs w:val="22"/>
          <w:u w:val="single"/>
          <w:lang w:eastAsia="en-US"/>
        </w:rPr>
      </w:pPr>
      <w:r w:rsidRPr="00875D90">
        <w:rPr>
          <w:rFonts w:ascii="Arial" w:eastAsia="Calibri" w:hAnsi="Arial" w:cs="Arial"/>
          <w:b/>
          <w:bCs/>
          <w:color w:val="000000"/>
          <w:sz w:val="22"/>
          <w:szCs w:val="22"/>
          <w:highlight w:val="lightGray"/>
          <w:u w:val="single"/>
          <w:lang w:eastAsia="en-US"/>
        </w:rPr>
        <w:t>Para Usos Não Residenciais – TODOS:</w:t>
      </w:r>
    </w:p>
    <w:p w:rsidR="00A61DD3" w:rsidRDefault="00A61DD3" w:rsidP="005E5FF6">
      <w:pPr>
        <w:autoSpaceDE w:val="0"/>
        <w:spacing w:after="200" w:line="360" w:lineRule="auto"/>
        <w:contextualSpacing/>
        <w:jc w:val="both"/>
        <w:rPr>
          <w:rFonts w:ascii="Arial" w:hAnsi="Arial" w:cs="Arial"/>
          <w:b/>
          <w:bCs/>
          <w:sz w:val="22"/>
          <w:szCs w:val="22"/>
        </w:rPr>
      </w:pPr>
    </w:p>
    <w:p w:rsidR="00A61DD3" w:rsidRPr="00BC1E93" w:rsidRDefault="00A61DD3" w:rsidP="00A61DD3">
      <w:pPr>
        <w:autoSpaceDE w:val="0"/>
        <w:spacing w:after="200" w:line="360" w:lineRule="auto"/>
        <w:contextualSpacing/>
        <w:jc w:val="both"/>
        <w:rPr>
          <w:rFonts w:ascii="Arial" w:hAnsi="Arial" w:cs="Arial"/>
          <w:b/>
          <w:bCs/>
          <w:color w:val="000000"/>
          <w:sz w:val="22"/>
          <w:szCs w:val="22"/>
        </w:rPr>
      </w:pPr>
      <w:r>
        <w:rPr>
          <w:rFonts w:ascii="Arial" w:hAnsi="Arial" w:cs="Arial"/>
          <w:b/>
          <w:bCs/>
          <w:color w:val="000000"/>
          <w:sz w:val="22"/>
          <w:szCs w:val="22"/>
        </w:rPr>
        <w:t xml:space="preserve">8. </w:t>
      </w:r>
      <w:r w:rsidRPr="00BC1E93">
        <w:rPr>
          <w:rFonts w:ascii="Arial" w:hAnsi="Arial" w:cs="Arial"/>
          <w:b/>
          <w:bCs/>
          <w:color w:val="000000"/>
          <w:sz w:val="22"/>
          <w:szCs w:val="22"/>
        </w:rPr>
        <w:t>Avaliação dos impactos:</w:t>
      </w:r>
    </w:p>
    <w:p w:rsidR="00A61DD3" w:rsidRPr="00BC1E93" w:rsidRDefault="00A61DD3" w:rsidP="00A61DD3">
      <w:pPr>
        <w:autoSpaceDE w:val="0"/>
        <w:spacing w:line="360" w:lineRule="auto"/>
        <w:ind w:left="1494"/>
        <w:contextualSpacing/>
        <w:jc w:val="both"/>
        <w:rPr>
          <w:rFonts w:ascii="Arial" w:hAnsi="Arial" w:cs="Arial"/>
          <w:b/>
          <w:bCs/>
          <w:color w:val="000000"/>
          <w:sz w:val="22"/>
          <w:szCs w:val="22"/>
        </w:rPr>
      </w:pPr>
    </w:p>
    <w:p w:rsidR="00A61DD3" w:rsidRPr="00875D90" w:rsidRDefault="00A61DD3" w:rsidP="00875D90">
      <w:pPr>
        <w:autoSpaceDE w:val="0"/>
        <w:spacing w:after="200" w:line="360" w:lineRule="auto"/>
        <w:ind w:firstLine="284"/>
        <w:jc w:val="both"/>
        <w:rPr>
          <w:rFonts w:ascii="Arial" w:eastAsia="Calibri" w:hAnsi="Arial" w:cs="Arial"/>
          <w:bCs/>
          <w:color w:val="000000"/>
          <w:sz w:val="22"/>
          <w:szCs w:val="22"/>
          <w:lang w:eastAsia="en-US"/>
        </w:rPr>
      </w:pPr>
      <w:r w:rsidRPr="00BC1E93">
        <w:rPr>
          <w:rFonts w:ascii="Arial" w:eastAsia="Calibri" w:hAnsi="Arial" w:cs="Arial"/>
          <w:bCs/>
          <w:color w:val="000000"/>
          <w:sz w:val="22"/>
          <w:szCs w:val="22"/>
          <w:lang w:eastAsia="en-US"/>
        </w:rPr>
        <w:t>Baseando-se no mapeamento, fotos e dados apresentados nos itens anteriores, descrever as avaliações dos impactos positivos e/ou negativos identificados pela inserção do empreendimento/atividade na vizinhança caracterizada sobre os seguintes aspectos:</w:t>
      </w:r>
    </w:p>
    <w:p w:rsidR="00A61DD3" w:rsidRPr="00875D90" w:rsidRDefault="00A61DD3" w:rsidP="00875D90">
      <w:pPr>
        <w:numPr>
          <w:ilvl w:val="1"/>
          <w:numId w:val="12"/>
        </w:numPr>
        <w:autoSpaceDE w:val="0"/>
        <w:spacing w:after="200" w:line="360" w:lineRule="auto"/>
        <w:ind w:left="284" w:hanging="284"/>
        <w:contextualSpacing/>
        <w:jc w:val="both"/>
        <w:rPr>
          <w:rFonts w:ascii="Arial" w:hAnsi="Arial" w:cs="Arial"/>
          <w:b/>
          <w:bCs/>
          <w:color w:val="000000"/>
          <w:sz w:val="22"/>
          <w:szCs w:val="22"/>
        </w:rPr>
      </w:pPr>
      <w:r w:rsidRPr="00BC1E93">
        <w:rPr>
          <w:rFonts w:ascii="Arial" w:hAnsi="Arial" w:cs="Arial"/>
          <w:b/>
          <w:bCs/>
          <w:color w:val="000000"/>
          <w:sz w:val="22"/>
          <w:szCs w:val="22"/>
        </w:rPr>
        <w:t>Na fase de obra e implantação do empreendimento:</w:t>
      </w:r>
    </w:p>
    <w:p w:rsidR="00A61DD3" w:rsidRPr="00BC1E93" w:rsidRDefault="00A61DD3" w:rsidP="00A61DD3">
      <w:pPr>
        <w:numPr>
          <w:ilvl w:val="0"/>
          <w:numId w:val="7"/>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 xml:space="preserve">Equipamentos públicos em caso de alocação dos operários na região do empreendimento (sistema de saúde, segurança pública, sistema de educação quando a alocação dos operários inclui a vinda da família, habitacional no aumento da demanda da prestação do serviço em caso </w:t>
      </w:r>
      <w:proofErr w:type="gramStart"/>
      <w:r w:rsidRPr="00BC1E93">
        <w:rPr>
          <w:rFonts w:ascii="Arial" w:hAnsi="Arial" w:cs="Arial"/>
          <w:bCs/>
          <w:color w:val="000000"/>
          <w:sz w:val="22"/>
          <w:szCs w:val="22"/>
        </w:rPr>
        <w:t>do</w:t>
      </w:r>
      <w:proofErr w:type="gramEnd"/>
      <w:r w:rsidRPr="00BC1E93">
        <w:rPr>
          <w:rFonts w:ascii="Arial" w:hAnsi="Arial" w:cs="Arial"/>
          <w:bCs/>
          <w:color w:val="000000"/>
          <w:sz w:val="22"/>
          <w:szCs w:val="22"/>
        </w:rPr>
        <w:t xml:space="preserve"> retorno a sua origem não ocorrer); </w:t>
      </w:r>
    </w:p>
    <w:p w:rsidR="00A61DD3" w:rsidRPr="00BC1E93" w:rsidRDefault="00A61DD3" w:rsidP="00A61DD3">
      <w:pPr>
        <w:numPr>
          <w:ilvl w:val="0"/>
          <w:numId w:val="7"/>
        </w:numPr>
        <w:autoSpaceDE w:val="0"/>
        <w:spacing w:after="200" w:line="360" w:lineRule="auto"/>
        <w:ind w:left="567" w:hanging="283"/>
        <w:contextualSpacing/>
        <w:jc w:val="both"/>
        <w:rPr>
          <w:rFonts w:ascii="Arial" w:hAnsi="Arial" w:cs="Arial"/>
          <w:bCs/>
          <w:color w:val="000000"/>
          <w:sz w:val="22"/>
          <w:szCs w:val="22"/>
        </w:rPr>
      </w:pPr>
      <w:proofErr w:type="gramStart"/>
      <w:r w:rsidRPr="00BC1E93">
        <w:rPr>
          <w:rFonts w:ascii="Arial" w:hAnsi="Arial" w:cs="Arial"/>
          <w:bCs/>
          <w:color w:val="000000"/>
          <w:sz w:val="22"/>
          <w:szCs w:val="22"/>
        </w:rPr>
        <w:t>Infra estrutura</w:t>
      </w:r>
      <w:proofErr w:type="gramEnd"/>
      <w:r w:rsidRPr="00BC1E93">
        <w:rPr>
          <w:rFonts w:ascii="Arial" w:hAnsi="Arial" w:cs="Arial"/>
          <w:bCs/>
          <w:color w:val="000000"/>
          <w:sz w:val="22"/>
          <w:szCs w:val="22"/>
        </w:rPr>
        <w:t xml:space="preserve"> urbana (escoamento das águas pluviais na fase da obra, esgotamento sanitário e abastecimento de água potável no canteiro de obras, energia elétrica, vias públicas afetadas pela obra);</w:t>
      </w:r>
    </w:p>
    <w:p w:rsidR="00A61DD3" w:rsidRPr="00BC1E93" w:rsidRDefault="00A61DD3" w:rsidP="00A61DD3">
      <w:pPr>
        <w:numPr>
          <w:ilvl w:val="0"/>
          <w:numId w:val="7"/>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Meio ambiente (grau de movimentação de terra, tecnologias construtivas, sistemas de sustentabilidade na obra);</w:t>
      </w:r>
    </w:p>
    <w:p w:rsidR="00A61DD3" w:rsidRPr="00BC1E93" w:rsidRDefault="00A61DD3" w:rsidP="00A61DD3">
      <w:pPr>
        <w:numPr>
          <w:ilvl w:val="0"/>
          <w:numId w:val="7"/>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color w:val="000000"/>
          <w:sz w:val="22"/>
          <w:szCs w:val="22"/>
        </w:rPr>
        <w:t>Bens tombados patrimoniais, edificados e naturais (cuidados durante a fase da obra aos bens identificados)</w:t>
      </w:r>
      <w:r w:rsidRPr="00BC1E93">
        <w:rPr>
          <w:rFonts w:ascii="Arial" w:hAnsi="Arial" w:cs="Arial"/>
          <w:bCs/>
          <w:color w:val="000000"/>
          <w:sz w:val="22"/>
          <w:szCs w:val="22"/>
        </w:rPr>
        <w:t>;</w:t>
      </w:r>
    </w:p>
    <w:p w:rsidR="00A61DD3" w:rsidRPr="00BC1E93" w:rsidRDefault="00A61DD3" w:rsidP="00A61DD3">
      <w:pPr>
        <w:numPr>
          <w:ilvl w:val="0"/>
          <w:numId w:val="7"/>
        </w:numPr>
        <w:spacing w:after="200" w:line="360" w:lineRule="auto"/>
        <w:ind w:left="567" w:hanging="283"/>
        <w:contextualSpacing/>
        <w:jc w:val="both"/>
        <w:rPr>
          <w:rFonts w:ascii="Arial" w:hAnsi="Arial" w:cs="Arial"/>
          <w:sz w:val="22"/>
          <w:szCs w:val="22"/>
        </w:rPr>
      </w:pPr>
      <w:r w:rsidRPr="00BC1E93">
        <w:rPr>
          <w:rFonts w:ascii="Arial" w:hAnsi="Arial" w:cs="Arial"/>
          <w:bCs/>
          <w:color w:val="000000"/>
          <w:sz w:val="22"/>
          <w:szCs w:val="22"/>
        </w:rPr>
        <w:t>Sócio econômicos (</w:t>
      </w:r>
      <w:r w:rsidRPr="00BC1E93">
        <w:rPr>
          <w:rFonts w:ascii="Arial" w:hAnsi="Arial" w:cs="Arial"/>
          <w:color w:val="000000"/>
          <w:sz w:val="22"/>
          <w:szCs w:val="22"/>
        </w:rPr>
        <w:t>atração de pessoas, oferta de trabalho)</w:t>
      </w:r>
      <w:r w:rsidRPr="00BC1E93">
        <w:rPr>
          <w:rFonts w:ascii="Arial" w:hAnsi="Arial" w:cs="Arial"/>
          <w:bCs/>
          <w:color w:val="000000"/>
          <w:sz w:val="22"/>
          <w:szCs w:val="22"/>
        </w:rPr>
        <w:t>;</w:t>
      </w:r>
    </w:p>
    <w:p w:rsidR="00A61DD3" w:rsidRPr="00BC1E93" w:rsidRDefault="00A61DD3" w:rsidP="00A61DD3">
      <w:pPr>
        <w:numPr>
          <w:ilvl w:val="0"/>
          <w:numId w:val="7"/>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Qualidade do ar (suspensão de poeira, impactos de tecnologias construtivas utilizadas);</w:t>
      </w:r>
    </w:p>
    <w:p w:rsidR="00A61DD3" w:rsidRPr="00BC1E93" w:rsidRDefault="00A61DD3" w:rsidP="00A61DD3">
      <w:pPr>
        <w:numPr>
          <w:ilvl w:val="0"/>
          <w:numId w:val="7"/>
        </w:numPr>
        <w:autoSpaceDE w:val="0"/>
        <w:spacing w:after="200" w:line="360" w:lineRule="auto"/>
        <w:ind w:left="567" w:hanging="283"/>
        <w:contextualSpacing/>
        <w:jc w:val="both"/>
        <w:rPr>
          <w:rFonts w:ascii="Arial" w:hAnsi="Arial" w:cs="Arial"/>
          <w:color w:val="000000"/>
          <w:sz w:val="22"/>
          <w:szCs w:val="22"/>
        </w:rPr>
      </w:pPr>
      <w:r w:rsidRPr="00BC1E93">
        <w:rPr>
          <w:rFonts w:ascii="Arial" w:hAnsi="Arial" w:cs="Arial"/>
          <w:color w:val="000000"/>
          <w:sz w:val="22"/>
          <w:szCs w:val="22"/>
        </w:rPr>
        <w:t>Ruído (equipamentos utilizados na fase da obra, grau de exposição da vizinhança a esses ruídos e por quanto tempo, horário de realização das obras);</w:t>
      </w:r>
    </w:p>
    <w:p w:rsidR="00A61DD3" w:rsidRPr="00BC1E93" w:rsidRDefault="00A61DD3" w:rsidP="00A61DD3">
      <w:pPr>
        <w:numPr>
          <w:ilvl w:val="0"/>
          <w:numId w:val="7"/>
        </w:numPr>
        <w:autoSpaceDE w:val="0"/>
        <w:spacing w:after="200" w:line="360" w:lineRule="auto"/>
        <w:ind w:left="567" w:hanging="283"/>
        <w:contextualSpacing/>
        <w:jc w:val="both"/>
        <w:rPr>
          <w:rFonts w:ascii="Arial" w:hAnsi="Arial" w:cs="Arial"/>
          <w:color w:val="000000"/>
          <w:sz w:val="22"/>
          <w:szCs w:val="22"/>
        </w:rPr>
      </w:pPr>
      <w:r w:rsidRPr="00BC1E93">
        <w:rPr>
          <w:rFonts w:ascii="Arial" w:hAnsi="Arial" w:cs="Arial"/>
          <w:color w:val="000000"/>
          <w:sz w:val="22"/>
          <w:szCs w:val="22"/>
        </w:rPr>
        <w:t>Geração de resíduos (tratamento dos resíduos e destinação, alternativas de sustentabilidade);</w:t>
      </w:r>
    </w:p>
    <w:p w:rsidR="00A61DD3" w:rsidRPr="00BC1E93" w:rsidRDefault="00A61DD3" w:rsidP="00A61DD3">
      <w:pPr>
        <w:autoSpaceDE w:val="0"/>
        <w:spacing w:line="360" w:lineRule="auto"/>
        <w:ind w:left="1494"/>
        <w:contextualSpacing/>
        <w:jc w:val="both"/>
        <w:rPr>
          <w:rFonts w:ascii="Arial" w:hAnsi="Arial" w:cs="Arial"/>
          <w:color w:val="000000"/>
          <w:sz w:val="22"/>
          <w:szCs w:val="22"/>
        </w:rPr>
      </w:pPr>
    </w:p>
    <w:p w:rsidR="00A61DD3" w:rsidRDefault="00A61DD3" w:rsidP="00A61DD3">
      <w:pPr>
        <w:autoSpaceDE w:val="0"/>
        <w:spacing w:line="360" w:lineRule="auto"/>
        <w:ind w:left="1494"/>
        <w:contextualSpacing/>
        <w:jc w:val="both"/>
        <w:rPr>
          <w:rFonts w:ascii="Arial" w:hAnsi="Arial" w:cs="Arial"/>
          <w:color w:val="000000"/>
          <w:sz w:val="22"/>
          <w:szCs w:val="22"/>
        </w:rPr>
      </w:pPr>
    </w:p>
    <w:p w:rsidR="00875D90" w:rsidRDefault="00875D90" w:rsidP="00A61DD3">
      <w:pPr>
        <w:autoSpaceDE w:val="0"/>
        <w:spacing w:line="360" w:lineRule="auto"/>
        <w:ind w:left="1494"/>
        <w:contextualSpacing/>
        <w:jc w:val="both"/>
        <w:rPr>
          <w:rFonts w:ascii="Arial" w:hAnsi="Arial" w:cs="Arial"/>
          <w:color w:val="000000"/>
          <w:sz w:val="22"/>
          <w:szCs w:val="22"/>
        </w:rPr>
      </w:pPr>
    </w:p>
    <w:p w:rsidR="00875D90" w:rsidRDefault="00875D90" w:rsidP="00A61DD3">
      <w:pPr>
        <w:autoSpaceDE w:val="0"/>
        <w:spacing w:line="360" w:lineRule="auto"/>
        <w:ind w:left="1494"/>
        <w:contextualSpacing/>
        <w:jc w:val="both"/>
        <w:rPr>
          <w:rFonts w:ascii="Arial" w:hAnsi="Arial" w:cs="Arial"/>
          <w:color w:val="000000"/>
          <w:sz w:val="22"/>
          <w:szCs w:val="22"/>
        </w:rPr>
      </w:pPr>
    </w:p>
    <w:p w:rsidR="00875D90" w:rsidRDefault="00875D90" w:rsidP="00A61DD3">
      <w:pPr>
        <w:autoSpaceDE w:val="0"/>
        <w:spacing w:line="360" w:lineRule="auto"/>
        <w:ind w:left="1494"/>
        <w:contextualSpacing/>
        <w:jc w:val="both"/>
        <w:rPr>
          <w:rFonts w:ascii="Arial" w:hAnsi="Arial" w:cs="Arial"/>
          <w:color w:val="000000"/>
          <w:sz w:val="22"/>
          <w:szCs w:val="22"/>
        </w:rPr>
      </w:pPr>
    </w:p>
    <w:p w:rsidR="00875D90" w:rsidRDefault="00875D90" w:rsidP="00A61DD3">
      <w:pPr>
        <w:autoSpaceDE w:val="0"/>
        <w:spacing w:line="360" w:lineRule="auto"/>
        <w:ind w:left="1494"/>
        <w:contextualSpacing/>
        <w:jc w:val="both"/>
        <w:rPr>
          <w:rFonts w:ascii="Arial" w:hAnsi="Arial" w:cs="Arial"/>
          <w:color w:val="000000"/>
          <w:sz w:val="22"/>
          <w:szCs w:val="22"/>
        </w:rPr>
      </w:pPr>
    </w:p>
    <w:p w:rsidR="00875D90" w:rsidRPr="00BC1E93" w:rsidRDefault="00875D90" w:rsidP="00A61DD3">
      <w:pPr>
        <w:autoSpaceDE w:val="0"/>
        <w:spacing w:line="360" w:lineRule="auto"/>
        <w:ind w:left="1494"/>
        <w:contextualSpacing/>
        <w:jc w:val="both"/>
        <w:rPr>
          <w:rFonts w:ascii="Arial" w:hAnsi="Arial" w:cs="Arial"/>
          <w:color w:val="000000"/>
          <w:sz w:val="22"/>
          <w:szCs w:val="22"/>
        </w:rPr>
      </w:pPr>
      <w:bookmarkStart w:id="0" w:name="_GoBack"/>
      <w:bookmarkEnd w:id="0"/>
    </w:p>
    <w:p w:rsidR="00A61DD3" w:rsidRPr="00BC1E93" w:rsidRDefault="00A61DD3" w:rsidP="00A61DD3">
      <w:pPr>
        <w:numPr>
          <w:ilvl w:val="1"/>
          <w:numId w:val="12"/>
        </w:numPr>
        <w:autoSpaceDE w:val="0"/>
        <w:spacing w:after="200" w:line="360" w:lineRule="auto"/>
        <w:ind w:left="284" w:hanging="284"/>
        <w:contextualSpacing/>
        <w:jc w:val="both"/>
        <w:rPr>
          <w:rFonts w:ascii="Arial" w:hAnsi="Arial" w:cs="Arial"/>
          <w:b/>
          <w:bCs/>
          <w:color w:val="000000"/>
          <w:sz w:val="22"/>
          <w:szCs w:val="22"/>
        </w:rPr>
      </w:pPr>
      <w:r w:rsidRPr="00BC1E93">
        <w:rPr>
          <w:rFonts w:ascii="Arial" w:hAnsi="Arial" w:cs="Arial"/>
          <w:b/>
          <w:bCs/>
          <w:color w:val="000000"/>
          <w:sz w:val="22"/>
          <w:szCs w:val="22"/>
        </w:rPr>
        <w:lastRenderedPageBreak/>
        <w:t>Com a presença do empreendimento e/ou atividade:</w:t>
      </w:r>
    </w:p>
    <w:p w:rsidR="00A61DD3" w:rsidRPr="00BC1E93" w:rsidRDefault="00A61DD3" w:rsidP="00A61DD3">
      <w:pPr>
        <w:autoSpaceDE w:val="0"/>
        <w:spacing w:after="200" w:line="360" w:lineRule="auto"/>
        <w:jc w:val="both"/>
        <w:rPr>
          <w:rFonts w:ascii="Arial" w:eastAsia="Calibri" w:hAnsi="Arial" w:cs="Arial"/>
          <w:color w:val="000000"/>
          <w:sz w:val="22"/>
          <w:szCs w:val="22"/>
          <w:lang w:eastAsia="en-US"/>
        </w:rPr>
      </w:pPr>
    </w:p>
    <w:p w:rsidR="00A61DD3" w:rsidRPr="00BC1E93" w:rsidRDefault="00A61DD3" w:rsidP="00A61DD3">
      <w:pPr>
        <w:numPr>
          <w:ilvl w:val="1"/>
          <w:numId w:val="10"/>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Atração e movimentação de pessoas em decorrência da presença do empreendimento / atividade e os impactos nos equipamentos e serviços públicos da região no que diz respeito à segurança pública e a coleta de lixo;</w:t>
      </w:r>
    </w:p>
    <w:p w:rsidR="00A61DD3" w:rsidRPr="00BC1E93" w:rsidRDefault="00A61DD3" w:rsidP="00A61DD3">
      <w:pPr>
        <w:numPr>
          <w:ilvl w:val="0"/>
          <w:numId w:val="10"/>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Capacidade da Infraestrutura urbana (impacto sobre o sistema de fornecimento de água potável, esgotamento sanitário, energia elétrica, iluminação pública presente ou não, escoamento das águas pluviais, existência e condições das vias e calçadas de circulação);</w:t>
      </w:r>
    </w:p>
    <w:p w:rsidR="00A61DD3" w:rsidRPr="00BC1E93" w:rsidRDefault="00A61DD3" w:rsidP="00A61DD3">
      <w:pPr>
        <w:numPr>
          <w:ilvl w:val="0"/>
          <w:numId w:val="10"/>
        </w:numPr>
        <w:spacing w:after="200" w:line="360" w:lineRule="auto"/>
        <w:ind w:left="567" w:hanging="283"/>
        <w:contextualSpacing/>
        <w:jc w:val="both"/>
        <w:rPr>
          <w:rFonts w:ascii="Arial" w:hAnsi="Arial" w:cs="Arial"/>
          <w:sz w:val="22"/>
          <w:szCs w:val="22"/>
        </w:rPr>
      </w:pPr>
      <w:proofErr w:type="spellStart"/>
      <w:r w:rsidRPr="00BC1E93">
        <w:rPr>
          <w:rFonts w:ascii="Arial" w:hAnsi="Arial" w:cs="Arial"/>
          <w:bCs/>
          <w:color w:val="000000"/>
          <w:sz w:val="22"/>
          <w:szCs w:val="22"/>
        </w:rPr>
        <w:t>Sócioeconômicos</w:t>
      </w:r>
      <w:proofErr w:type="spellEnd"/>
      <w:r w:rsidRPr="00BC1E93">
        <w:rPr>
          <w:rFonts w:ascii="Arial" w:hAnsi="Arial" w:cs="Arial"/>
          <w:bCs/>
          <w:color w:val="000000"/>
          <w:sz w:val="22"/>
          <w:szCs w:val="22"/>
        </w:rPr>
        <w:t xml:space="preserve"> (verificação da existência de </w:t>
      </w:r>
      <w:r w:rsidRPr="00BC1E93">
        <w:rPr>
          <w:rFonts w:ascii="Arial" w:hAnsi="Arial" w:cs="Arial"/>
          <w:color w:val="000000"/>
          <w:sz w:val="22"/>
          <w:szCs w:val="22"/>
        </w:rPr>
        <w:t>estratificação social, quantidade e qualidade dos postos de trabalho gerados, atração de novos usos –influência na alteração dos usos e ocupação do solo em função da chegada do empreendimento/atividade)</w:t>
      </w:r>
      <w:r w:rsidRPr="00BC1E93">
        <w:rPr>
          <w:rFonts w:ascii="Arial" w:hAnsi="Arial" w:cs="Arial"/>
          <w:bCs/>
          <w:color w:val="000000"/>
          <w:sz w:val="22"/>
          <w:szCs w:val="22"/>
        </w:rPr>
        <w:t>;</w:t>
      </w:r>
    </w:p>
    <w:p w:rsidR="00A61DD3" w:rsidRPr="00BC1E93" w:rsidRDefault="00A61DD3" w:rsidP="00A61DD3">
      <w:pPr>
        <w:numPr>
          <w:ilvl w:val="0"/>
          <w:numId w:val="10"/>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Ventilação e iluminação (avaliação da disposição da</w:t>
      </w:r>
      <w:r>
        <w:rPr>
          <w:rFonts w:ascii="Arial" w:hAnsi="Arial" w:cs="Arial"/>
          <w:bCs/>
          <w:color w:val="000000"/>
          <w:sz w:val="22"/>
          <w:szCs w:val="22"/>
        </w:rPr>
        <w:t>s</w:t>
      </w:r>
      <w:r w:rsidRPr="00BC1E93">
        <w:rPr>
          <w:rFonts w:ascii="Arial" w:hAnsi="Arial" w:cs="Arial"/>
          <w:bCs/>
          <w:color w:val="000000"/>
          <w:sz w:val="22"/>
          <w:szCs w:val="22"/>
        </w:rPr>
        <w:t xml:space="preserve"> edificações, sua influência na alteração dos cursos dos ventos, avaliação sobre o sombreamento gerado pelo empreendimento na vizinhança);</w:t>
      </w:r>
    </w:p>
    <w:p w:rsidR="00A61DD3" w:rsidRPr="00BC1E93" w:rsidRDefault="00A61DD3" w:rsidP="00A61DD3">
      <w:pPr>
        <w:numPr>
          <w:ilvl w:val="0"/>
          <w:numId w:val="10"/>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Valorização imobiliária (influência na valorização ou desvalorização com a presença do empreendimento/atividade);</w:t>
      </w:r>
    </w:p>
    <w:p w:rsidR="00A61DD3" w:rsidRPr="00BC1E93" w:rsidRDefault="00A61DD3" w:rsidP="00A61DD3">
      <w:pPr>
        <w:numPr>
          <w:ilvl w:val="0"/>
          <w:numId w:val="10"/>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Paisagem urbana e alterações tipológicas e na morfologia urbana (impactos em decorrência do porte, materiais construtivos no acabamento, tipologias adotadas, relação com o pedestre, arborização urbana, poluição visual);</w:t>
      </w:r>
    </w:p>
    <w:p w:rsidR="00A61DD3" w:rsidRPr="00BC1E93" w:rsidRDefault="00A61DD3" w:rsidP="00A61DD3">
      <w:pPr>
        <w:numPr>
          <w:ilvl w:val="0"/>
          <w:numId w:val="10"/>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Ambientais (impactos relativos a impermeabilização do solo, lençol freático, remoção de áreas verdes, qualidade do ar);</w:t>
      </w:r>
    </w:p>
    <w:p w:rsidR="00A61DD3" w:rsidRPr="00BC1E93" w:rsidRDefault="00A61DD3" w:rsidP="00A61DD3">
      <w:pPr>
        <w:numPr>
          <w:ilvl w:val="0"/>
          <w:numId w:val="10"/>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Patrimônio natural e cultural (impactos sobre os elementos existentes na vizinhança, considerando o significado destes elementos para a população e atividades locais);</w:t>
      </w:r>
    </w:p>
    <w:p w:rsidR="00A61DD3" w:rsidRPr="00BC1E93" w:rsidRDefault="00A61DD3" w:rsidP="00A61DD3">
      <w:pPr>
        <w:numPr>
          <w:ilvl w:val="0"/>
          <w:numId w:val="10"/>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bCs/>
          <w:color w:val="000000"/>
          <w:sz w:val="22"/>
          <w:szCs w:val="22"/>
        </w:rPr>
        <w:t>Normas, planos, projetos que incidem sobre a área (impactos cumulativos ou sinérgicos, representados por projetos governamentais de melhoramentos urbanos previstos ou em andamento quando houver informação fornecida pela municipalidade, impacto frente a diferente temporalidade da concepção do projeto - lei incidente - com a construção do espaço urbano atual - lei vigente.</w:t>
      </w:r>
    </w:p>
    <w:p w:rsidR="00A61DD3" w:rsidRPr="00BC1E93" w:rsidRDefault="00A61DD3" w:rsidP="00A61DD3">
      <w:pPr>
        <w:numPr>
          <w:ilvl w:val="1"/>
          <w:numId w:val="10"/>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color w:val="000000"/>
          <w:sz w:val="22"/>
          <w:szCs w:val="22"/>
        </w:rPr>
        <w:t>Geração de resíduos diferenciados no tipo e/ou quantidade (principalmente para os serviços da saúde);</w:t>
      </w:r>
    </w:p>
    <w:p w:rsidR="00A61DD3" w:rsidRPr="00BC1E93" w:rsidRDefault="00A61DD3" w:rsidP="00A61DD3">
      <w:pPr>
        <w:numPr>
          <w:ilvl w:val="1"/>
          <w:numId w:val="10"/>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color w:val="000000"/>
          <w:sz w:val="22"/>
          <w:szCs w:val="22"/>
        </w:rPr>
        <w:t>Geração de odores - a depender do uso proposto;</w:t>
      </w:r>
    </w:p>
    <w:p w:rsidR="00A61DD3" w:rsidRDefault="00A61DD3" w:rsidP="00A61DD3">
      <w:pPr>
        <w:numPr>
          <w:ilvl w:val="1"/>
          <w:numId w:val="10"/>
        </w:numPr>
        <w:autoSpaceDE w:val="0"/>
        <w:spacing w:after="200" w:line="360" w:lineRule="auto"/>
        <w:ind w:left="567" w:hanging="283"/>
        <w:contextualSpacing/>
        <w:jc w:val="both"/>
        <w:rPr>
          <w:rFonts w:ascii="Arial" w:hAnsi="Arial" w:cs="Arial"/>
          <w:bCs/>
          <w:color w:val="000000"/>
          <w:sz w:val="22"/>
          <w:szCs w:val="22"/>
        </w:rPr>
      </w:pPr>
      <w:r w:rsidRPr="00BC1E93">
        <w:rPr>
          <w:rFonts w:ascii="Arial" w:hAnsi="Arial" w:cs="Arial"/>
          <w:color w:val="000000"/>
          <w:sz w:val="22"/>
          <w:szCs w:val="22"/>
        </w:rPr>
        <w:t>Geração de ruídos (para atividades com potencial de incomodidade, apresentando as soluções de tratamento acústico);</w:t>
      </w:r>
    </w:p>
    <w:p w:rsidR="00A61DD3" w:rsidRPr="00BC1E93" w:rsidRDefault="00A61DD3" w:rsidP="00A61DD3">
      <w:pPr>
        <w:autoSpaceDE w:val="0"/>
        <w:spacing w:after="200" w:line="360" w:lineRule="auto"/>
        <w:contextualSpacing/>
        <w:jc w:val="both"/>
        <w:rPr>
          <w:rFonts w:ascii="Arial" w:hAnsi="Arial" w:cs="Arial"/>
          <w:bCs/>
          <w:color w:val="000000"/>
          <w:sz w:val="22"/>
          <w:szCs w:val="22"/>
        </w:rPr>
      </w:pPr>
    </w:p>
    <w:p w:rsidR="00A61DD3" w:rsidRPr="00BC1E93" w:rsidRDefault="00A61DD3" w:rsidP="00A61DD3">
      <w:pPr>
        <w:autoSpaceDE w:val="0"/>
        <w:spacing w:line="360" w:lineRule="auto"/>
        <w:ind w:firstLine="284"/>
        <w:contextualSpacing/>
        <w:jc w:val="both"/>
        <w:rPr>
          <w:rFonts w:ascii="Arial" w:hAnsi="Arial" w:cs="Arial"/>
          <w:b/>
          <w:color w:val="000000"/>
          <w:sz w:val="22"/>
          <w:szCs w:val="22"/>
        </w:rPr>
      </w:pPr>
      <w:r w:rsidRPr="00BC1E93">
        <w:rPr>
          <w:rFonts w:ascii="Arial" w:hAnsi="Arial" w:cs="Arial"/>
          <w:b/>
          <w:color w:val="000000"/>
          <w:sz w:val="22"/>
          <w:szCs w:val="22"/>
        </w:rPr>
        <w:t xml:space="preserve">Observação: </w:t>
      </w:r>
    </w:p>
    <w:p w:rsidR="00A61DD3" w:rsidRPr="00BC1E93" w:rsidRDefault="00A61DD3" w:rsidP="00A61DD3">
      <w:pPr>
        <w:autoSpaceDE w:val="0"/>
        <w:spacing w:line="360" w:lineRule="auto"/>
        <w:contextualSpacing/>
        <w:jc w:val="both"/>
        <w:rPr>
          <w:rFonts w:ascii="Arial" w:hAnsi="Arial" w:cs="Arial"/>
          <w:b/>
          <w:color w:val="000000"/>
          <w:sz w:val="22"/>
          <w:szCs w:val="22"/>
        </w:rPr>
      </w:pPr>
    </w:p>
    <w:p w:rsidR="00A61DD3" w:rsidRPr="00BC1E93" w:rsidRDefault="00A61DD3" w:rsidP="00A61DD3">
      <w:pPr>
        <w:autoSpaceDE w:val="0"/>
        <w:spacing w:line="360" w:lineRule="auto"/>
        <w:ind w:firstLine="284"/>
        <w:contextualSpacing/>
        <w:jc w:val="both"/>
        <w:rPr>
          <w:rFonts w:ascii="Arial" w:hAnsi="Arial" w:cs="Arial"/>
          <w:b/>
          <w:color w:val="000000"/>
          <w:sz w:val="22"/>
          <w:szCs w:val="22"/>
        </w:rPr>
      </w:pPr>
      <w:r w:rsidRPr="00BC1E93">
        <w:rPr>
          <w:rFonts w:ascii="Arial" w:hAnsi="Arial" w:cs="Arial"/>
          <w:b/>
          <w:color w:val="000000"/>
          <w:sz w:val="22"/>
          <w:szCs w:val="22"/>
        </w:rPr>
        <w:t>De acordo com o tipo de empreendimento e/ou atividade, poderão ser solicitados pelo Corpo Técnico de Análise, estudos complementares para elucidação e averiguação dos impactos.</w:t>
      </w:r>
    </w:p>
    <w:p w:rsidR="00A61DD3" w:rsidRDefault="00A61DD3" w:rsidP="005E5FF6">
      <w:pPr>
        <w:autoSpaceDE w:val="0"/>
        <w:spacing w:after="200" w:line="360" w:lineRule="auto"/>
        <w:contextualSpacing/>
        <w:jc w:val="both"/>
        <w:rPr>
          <w:rFonts w:ascii="Arial" w:hAnsi="Arial" w:cs="Arial"/>
          <w:b/>
          <w:bCs/>
          <w:sz w:val="22"/>
          <w:szCs w:val="22"/>
        </w:rPr>
      </w:pPr>
    </w:p>
    <w:sectPr w:rsidR="00A61DD3" w:rsidSect="005652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1EA7"/>
    <w:multiLevelType w:val="hybridMultilevel"/>
    <w:tmpl w:val="4694F5F0"/>
    <w:lvl w:ilvl="0" w:tplc="84AC2A10">
      <w:start w:val="1"/>
      <w:numFmt w:val="lowerLetter"/>
      <w:lvlText w:val="%1."/>
      <w:lvlJc w:val="left"/>
      <w:pPr>
        <w:ind w:left="1494" w:hanging="360"/>
      </w:pPr>
      <w:rPr>
        <w:rFonts w:ascii="Arial" w:eastAsia="Times New Roman" w:hAnsi="Arial" w:cs="Arial"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19673D05"/>
    <w:multiLevelType w:val="multilevel"/>
    <w:tmpl w:val="42902510"/>
    <w:lvl w:ilvl="0">
      <w:start w:val="8"/>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26EE42EB"/>
    <w:multiLevelType w:val="hybridMultilevel"/>
    <w:tmpl w:val="800CCD12"/>
    <w:lvl w:ilvl="0" w:tplc="CA10680C">
      <w:start w:val="1"/>
      <w:numFmt w:val="lowerLetter"/>
      <w:lvlText w:val="%1."/>
      <w:lvlJc w:val="left"/>
      <w:pPr>
        <w:ind w:left="1854" w:hanging="360"/>
      </w:pPr>
      <w:rPr>
        <w:rFonts w:hint="default"/>
        <w:b/>
      </w:rPr>
    </w:lvl>
    <w:lvl w:ilvl="1" w:tplc="36083854">
      <w:start w:val="1"/>
      <w:numFmt w:val="lowerLetter"/>
      <w:lvlText w:val="%2."/>
      <w:lvlJc w:val="left"/>
      <w:pPr>
        <w:ind w:left="2574" w:hanging="360"/>
      </w:pPr>
      <w:rPr>
        <w:b/>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408C6FA3"/>
    <w:multiLevelType w:val="multilevel"/>
    <w:tmpl w:val="15F01F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2F23C4"/>
    <w:multiLevelType w:val="hybridMultilevel"/>
    <w:tmpl w:val="A4084B86"/>
    <w:lvl w:ilvl="0" w:tplc="E3526FF4">
      <w:start w:val="1"/>
      <w:numFmt w:val="lowerLetter"/>
      <w:lvlText w:val="%1."/>
      <w:lvlJc w:val="left"/>
      <w:pPr>
        <w:ind w:left="2484" w:hanging="135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508301DF"/>
    <w:multiLevelType w:val="hybridMultilevel"/>
    <w:tmpl w:val="4A3C6286"/>
    <w:lvl w:ilvl="0" w:tplc="15967DEC">
      <w:start w:val="1"/>
      <w:numFmt w:val="lowerLetter"/>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5EE530F0"/>
    <w:multiLevelType w:val="hybridMultilevel"/>
    <w:tmpl w:val="C0C845CE"/>
    <w:lvl w:ilvl="0" w:tplc="460A3EA6">
      <w:start w:val="1"/>
      <w:numFmt w:val="lowerLetter"/>
      <w:lvlText w:val="%1."/>
      <w:lvlJc w:val="left"/>
      <w:pPr>
        <w:ind w:left="1854" w:hanging="360"/>
      </w:pPr>
      <w:rPr>
        <w:rFonts w:ascii="Arial" w:eastAsia="Times New Roman" w:hAnsi="Arial" w:cs="Arial"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62BE6E70"/>
    <w:multiLevelType w:val="multilevel"/>
    <w:tmpl w:val="27A2F6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925502"/>
    <w:multiLevelType w:val="hybridMultilevel"/>
    <w:tmpl w:val="8066641C"/>
    <w:lvl w:ilvl="0" w:tplc="C7160A18">
      <w:start w:val="4"/>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6A6A4428"/>
    <w:multiLevelType w:val="hybridMultilevel"/>
    <w:tmpl w:val="0264363A"/>
    <w:lvl w:ilvl="0" w:tplc="04160001">
      <w:start w:val="1"/>
      <w:numFmt w:val="bullet"/>
      <w:lvlText w:val=""/>
      <w:lvlJc w:val="left"/>
      <w:pPr>
        <w:ind w:left="2625" w:hanging="360"/>
      </w:pPr>
      <w:rPr>
        <w:rFonts w:ascii="Symbol" w:hAnsi="Symbol" w:hint="default"/>
      </w:rPr>
    </w:lvl>
    <w:lvl w:ilvl="1" w:tplc="04160003" w:tentative="1">
      <w:start w:val="1"/>
      <w:numFmt w:val="bullet"/>
      <w:lvlText w:val="o"/>
      <w:lvlJc w:val="left"/>
      <w:pPr>
        <w:ind w:left="3345" w:hanging="360"/>
      </w:pPr>
      <w:rPr>
        <w:rFonts w:ascii="Courier New" w:hAnsi="Courier New" w:cs="Courier New" w:hint="default"/>
      </w:rPr>
    </w:lvl>
    <w:lvl w:ilvl="2" w:tplc="04160005" w:tentative="1">
      <w:start w:val="1"/>
      <w:numFmt w:val="bullet"/>
      <w:lvlText w:val=""/>
      <w:lvlJc w:val="left"/>
      <w:pPr>
        <w:ind w:left="4065" w:hanging="360"/>
      </w:pPr>
      <w:rPr>
        <w:rFonts w:ascii="Wingdings" w:hAnsi="Wingdings" w:hint="default"/>
      </w:rPr>
    </w:lvl>
    <w:lvl w:ilvl="3" w:tplc="04160001" w:tentative="1">
      <w:start w:val="1"/>
      <w:numFmt w:val="bullet"/>
      <w:lvlText w:val=""/>
      <w:lvlJc w:val="left"/>
      <w:pPr>
        <w:ind w:left="4785" w:hanging="360"/>
      </w:pPr>
      <w:rPr>
        <w:rFonts w:ascii="Symbol" w:hAnsi="Symbol" w:hint="default"/>
      </w:rPr>
    </w:lvl>
    <w:lvl w:ilvl="4" w:tplc="04160003" w:tentative="1">
      <w:start w:val="1"/>
      <w:numFmt w:val="bullet"/>
      <w:lvlText w:val="o"/>
      <w:lvlJc w:val="left"/>
      <w:pPr>
        <w:ind w:left="5505" w:hanging="360"/>
      </w:pPr>
      <w:rPr>
        <w:rFonts w:ascii="Courier New" w:hAnsi="Courier New" w:cs="Courier New" w:hint="default"/>
      </w:rPr>
    </w:lvl>
    <w:lvl w:ilvl="5" w:tplc="04160005" w:tentative="1">
      <w:start w:val="1"/>
      <w:numFmt w:val="bullet"/>
      <w:lvlText w:val=""/>
      <w:lvlJc w:val="left"/>
      <w:pPr>
        <w:ind w:left="6225" w:hanging="360"/>
      </w:pPr>
      <w:rPr>
        <w:rFonts w:ascii="Wingdings" w:hAnsi="Wingdings" w:hint="default"/>
      </w:rPr>
    </w:lvl>
    <w:lvl w:ilvl="6" w:tplc="04160001" w:tentative="1">
      <w:start w:val="1"/>
      <w:numFmt w:val="bullet"/>
      <w:lvlText w:val=""/>
      <w:lvlJc w:val="left"/>
      <w:pPr>
        <w:ind w:left="6945" w:hanging="360"/>
      </w:pPr>
      <w:rPr>
        <w:rFonts w:ascii="Symbol" w:hAnsi="Symbol" w:hint="default"/>
      </w:rPr>
    </w:lvl>
    <w:lvl w:ilvl="7" w:tplc="04160003" w:tentative="1">
      <w:start w:val="1"/>
      <w:numFmt w:val="bullet"/>
      <w:lvlText w:val="o"/>
      <w:lvlJc w:val="left"/>
      <w:pPr>
        <w:ind w:left="7665" w:hanging="360"/>
      </w:pPr>
      <w:rPr>
        <w:rFonts w:ascii="Courier New" w:hAnsi="Courier New" w:cs="Courier New" w:hint="default"/>
      </w:rPr>
    </w:lvl>
    <w:lvl w:ilvl="8" w:tplc="04160005" w:tentative="1">
      <w:start w:val="1"/>
      <w:numFmt w:val="bullet"/>
      <w:lvlText w:val=""/>
      <w:lvlJc w:val="left"/>
      <w:pPr>
        <w:ind w:left="8385" w:hanging="360"/>
      </w:pPr>
      <w:rPr>
        <w:rFonts w:ascii="Wingdings" w:hAnsi="Wingdings" w:hint="default"/>
      </w:rPr>
    </w:lvl>
  </w:abstractNum>
  <w:abstractNum w:abstractNumId="10" w15:restartNumberingAfterBreak="0">
    <w:nsid w:val="75EA5794"/>
    <w:multiLevelType w:val="hybridMultilevel"/>
    <w:tmpl w:val="8292AF34"/>
    <w:lvl w:ilvl="0" w:tplc="9CA4BA24">
      <w:start w:val="1"/>
      <w:numFmt w:val="decimal"/>
      <w:lvlText w:val="%1."/>
      <w:lvlJc w:val="left"/>
      <w:pPr>
        <w:ind w:left="360"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76F72FBC"/>
    <w:multiLevelType w:val="hybridMultilevel"/>
    <w:tmpl w:val="54F0E78C"/>
    <w:lvl w:ilvl="0" w:tplc="8D4C3496">
      <w:start w:val="1"/>
      <w:numFmt w:val="lowerLetter"/>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6"/>
  </w:num>
  <w:num w:numId="2">
    <w:abstractNumId w:val="10"/>
  </w:num>
  <w:num w:numId="3">
    <w:abstractNumId w:val="4"/>
  </w:num>
  <w:num w:numId="4">
    <w:abstractNumId w:val="5"/>
  </w:num>
  <w:num w:numId="5">
    <w:abstractNumId w:val="9"/>
  </w:num>
  <w:num w:numId="6">
    <w:abstractNumId w:val="7"/>
  </w:num>
  <w:num w:numId="7">
    <w:abstractNumId w:val="0"/>
  </w:num>
  <w:num w:numId="8">
    <w:abstractNumId w:val="11"/>
  </w:num>
  <w:num w:numId="9">
    <w:abstractNumId w:val="3"/>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5E5FF6"/>
    <w:rsid w:val="001B5ED0"/>
    <w:rsid w:val="0056526D"/>
    <w:rsid w:val="005E5FF6"/>
    <w:rsid w:val="00875D90"/>
    <w:rsid w:val="00A61DD3"/>
    <w:rsid w:val="00C96799"/>
    <w:rsid w:val="00F557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893D"/>
  <w15:docId w15:val="{4BB75A2A-202B-4E52-A15F-FEDC8D98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F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1181</Words>
  <Characters>6383</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Viviane de Cassia Olivatto Galiano</cp:lastModifiedBy>
  <cp:revision>4</cp:revision>
  <dcterms:created xsi:type="dcterms:W3CDTF">2020-07-29T13:54:00Z</dcterms:created>
  <dcterms:modified xsi:type="dcterms:W3CDTF">2021-05-03T12:20:00Z</dcterms:modified>
</cp:coreProperties>
</file>